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35" w:rsidRPr="004E7135" w:rsidRDefault="004E7135" w:rsidP="004E7135">
      <w:pPr>
        <w:ind w:left="5529"/>
        <w:rPr>
          <w:sz w:val="28"/>
          <w:szCs w:val="28"/>
        </w:rPr>
      </w:pPr>
      <w:r w:rsidRPr="004E7135">
        <w:rPr>
          <w:sz w:val="28"/>
          <w:szCs w:val="28"/>
        </w:rPr>
        <w:t>Approved by the order of the Chairman of the Committee on Statistics of the Ministry of National Economy of the Republic of Kazakhstan dated November 24, 2016</w:t>
      </w:r>
    </w:p>
    <w:p w:rsidR="00D2095D" w:rsidRPr="0064699F" w:rsidRDefault="004E7135" w:rsidP="004E7135">
      <w:pPr>
        <w:ind w:left="5529"/>
        <w:rPr>
          <w:sz w:val="28"/>
          <w:szCs w:val="28"/>
        </w:rPr>
      </w:pPr>
      <w:r w:rsidRPr="004E7135">
        <w:rPr>
          <w:sz w:val="28"/>
          <w:szCs w:val="28"/>
        </w:rPr>
        <w:t>no. 274</w:t>
      </w:r>
    </w:p>
    <w:p w:rsidR="00D2095D" w:rsidRPr="0064699F" w:rsidRDefault="00D2095D" w:rsidP="00D2095D">
      <w:pPr>
        <w:pStyle w:val="23"/>
        <w:spacing w:after="0" w:line="240" w:lineRule="auto"/>
        <w:ind w:left="0"/>
        <w:rPr>
          <w:bCs/>
          <w:sz w:val="28"/>
          <w:szCs w:val="28"/>
        </w:rPr>
      </w:pPr>
    </w:p>
    <w:p w:rsidR="00D2095D" w:rsidRPr="0064699F" w:rsidRDefault="00D2095D" w:rsidP="00D2095D">
      <w:pPr>
        <w:pStyle w:val="23"/>
        <w:spacing w:after="0" w:line="240" w:lineRule="auto"/>
        <w:ind w:left="0"/>
        <w:rPr>
          <w:bCs/>
          <w:sz w:val="28"/>
          <w:szCs w:val="28"/>
        </w:rPr>
      </w:pPr>
    </w:p>
    <w:p w:rsidR="00D2095D" w:rsidRPr="0064699F" w:rsidRDefault="004E7135" w:rsidP="00D2095D">
      <w:pPr>
        <w:pStyle w:val="23"/>
        <w:spacing w:after="0" w:line="240" w:lineRule="auto"/>
        <w:ind w:left="0"/>
        <w:jc w:val="center"/>
        <w:rPr>
          <w:b/>
          <w:bCs/>
          <w:sz w:val="28"/>
          <w:szCs w:val="28"/>
        </w:rPr>
      </w:pPr>
      <w:r w:rsidRPr="004E7135">
        <w:rPr>
          <w:b/>
          <w:bCs/>
          <w:sz w:val="28"/>
          <w:szCs w:val="28"/>
        </w:rPr>
        <w:t xml:space="preserve">Methodology for calculating the </w:t>
      </w:r>
      <w:r w:rsidR="00974076">
        <w:rPr>
          <w:b/>
          <w:bCs/>
          <w:sz w:val="28"/>
          <w:szCs w:val="28"/>
        </w:rPr>
        <w:t>basic</w:t>
      </w:r>
      <w:r w:rsidRPr="004E7135">
        <w:rPr>
          <w:b/>
          <w:bCs/>
          <w:sz w:val="28"/>
          <w:szCs w:val="28"/>
        </w:rPr>
        <w:t xml:space="preserve"> consumer price index</w:t>
      </w:r>
    </w:p>
    <w:p w:rsidR="00D2095D" w:rsidRPr="0064699F" w:rsidRDefault="00D2095D" w:rsidP="00D2095D">
      <w:pPr>
        <w:pStyle w:val="a7"/>
        <w:widowControl w:val="0"/>
        <w:spacing w:after="0"/>
        <w:ind w:left="0" w:firstLine="709"/>
        <w:jc w:val="center"/>
        <w:rPr>
          <w:sz w:val="28"/>
          <w:szCs w:val="28"/>
        </w:rPr>
      </w:pPr>
    </w:p>
    <w:p w:rsidR="00D2095D" w:rsidRPr="0064699F" w:rsidRDefault="00D2095D" w:rsidP="00D2095D">
      <w:pPr>
        <w:pStyle w:val="a7"/>
        <w:widowControl w:val="0"/>
        <w:spacing w:after="0"/>
        <w:ind w:left="0"/>
        <w:jc w:val="center"/>
        <w:rPr>
          <w:b/>
          <w:sz w:val="28"/>
          <w:szCs w:val="28"/>
        </w:rPr>
      </w:pPr>
      <w:r w:rsidRPr="0064699F">
        <w:rPr>
          <w:b/>
          <w:sz w:val="28"/>
          <w:szCs w:val="28"/>
        </w:rPr>
        <w:t xml:space="preserve">Chapter 1. General </w:t>
      </w:r>
      <w:r w:rsidR="00974076">
        <w:rPr>
          <w:b/>
          <w:sz w:val="28"/>
          <w:szCs w:val="28"/>
          <w:lang w:val="en-US"/>
        </w:rPr>
        <w:t>p</w:t>
      </w:r>
      <w:r w:rsidRPr="0064699F">
        <w:rPr>
          <w:b/>
          <w:sz w:val="28"/>
          <w:szCs w:val="28"/>
        </w:rPr>
        <w:t>rovisions</w:t>
      </w:r>
    </w:p>
    <w:p w:rsidR="00D2095D" w:rsidRPr="0064699F" w:rsidRDefault="00D2095D" w:rsidP="00D2095D">
      <w:pPr>
        <w:pStyle w:val="a7"/>
        <w:spacing w:after="0"/>
        <w:ind w:left="0"/>
        <w:rPr>
          <w:sz w:val="28"/>
          <w:szCs w:val="28"/>
        </w:rPr>
      </w:pPr>
    </w:p>
    <w:p w:rsidR="00D2095D" w:rsidRPr="0064699F" w:rsidRDefault="00D2095D" w:rsidP="00D2095D">
      <w:pPr>
        <w:shd w:val="clear" w:color="auto" w:fill="FFFFFF"/>
        <w:suppressAutoHyphens/>
        <w:ind w:firstLine="709"/>
        <w:jc w:val="both"/>
        <w:rPr>
          <w:spacing w:val="-3"/>
          <w:sz w:val="28"/>
          <w:szCs w:val="28"/>
        </w:rPr>
      </w:pPr>
      <w:r w:rsidRPr="0064699F">
        <w:rPr>
          <w:sz w:val="28"/>
          <w:szCs w:val="28"/>
        </w:rPr>
        <w:t xml:space="preserve">1. </w:t>
      </w:r>
      <w:r w:rsidRPr="0064699F">
        <w:rPr>
          <w:bCs/>
          <w:sz w:val="28"/>
          <w:szCs w:val="28"/>
        </w:rPr>
        <w:t xml:space="preserve">The methodology for calculating the </w:t>
      </w:r>
      <w:r w:rsidR="00974076">
        <w:rPr>
          <w:bCs/>
          <w:sz w:val="28"/>
          <w:szCs w:val="28"/>
        </w:rPr>
        <w:t>basic</w:t>
      </w:r>
      <w:r w:rsidRPr="0064699F">
        <w:rPr>
          <w:bCs/>
          <w:sz w:val="28"/>
          <w:szCs w:val="28"/>
        </w:rPr>
        <w:t xml:space="preserve"> consumer price index </w:t>
      </w:r>
      <w:r w:rsidRPr="0064699F">
        <w:rPr>
          <w:bCs/>
          <w:sz w:val="28"/>
          <w:szCs w:val="28"/>
          <w:lang w:val="kk-KZ"/>
        </w:rPr>
        <w:br/>
      </w:r>
      <w:r w:rsidR="004E7135">
        <w:rPr>
          <w:bCs/>
          <w:sz w:val="28"/>
          <w:szCs w:val="28"/>
        </w:rPr>
        <w:t xml:space="preserve">(hereinafter - Methodology) </w:t>
      </w:r>
      <w:r w:rsidRPr="0064699F">
        <w:rPr>
          <w:sz w:val="28"/>
          <w:szCs w:val="28"/>
        </w:rPr>
        <w:t>refers to the statistical methodology, formed in accordance with international standards and approved in accordance with the Law of the Republic of Kazakhstan dated March 19, 2010 "On State Statistics".</w:t>
      </w:r>
    </w:p>
    <w:p w:rsidR="00D2095D" w:rsidRPr="00A73A1C" w:rsidRDefault="00D2095D" w:rsidP="00D2095D">
      <w:pPr>
        <w:shd w:val="clear" w:color="auto" w:fill="FFFFFF"/>
        <w:suppressAutoHyphens/>
        <w:ind w:firstLine="709"/>
        <w:jc w:val="both"/>
        <w:rPr>
          <w:spacing w:val="-3"/>
          <w:sz w:val="28"/>
          <w:szCs w:val="28"/>
        </w:rPr>
      </w:pPr>
      <w:r w:rsidRPr="0064699F">
        <w:rPr>
          <w:spacing w:val="-3"/>
          <w:sz w:val="28"/>
          <w:szCs w:val="28"/>
        </w:rPr>
        <w:t xml:space="preserve">2. Methodology </w:t>
      </w:r>
      <w:r w:rsidRPr="0064699F">
        <w:rPr>
          <w:sz w:val="28"/>
          <w:szCs w:val="28"/>
          <w:lang w:val="kk-KZ"/>
        </w:rPr>
        <w:t xml:space="preserve">establishes </w:t>
      </w:r>
      <w:r w:rsidRPr="0064699F">
        <w:rPr>
          <w:sz w:val="28"/>
          <w:szCs w:val="28"/>
        </w:rPr>
        <w:t xml:space="preserve">methodological approaches </w:t>
      </w:r>
      <w:r w:rsidRPr="0064699F">
        <w:rPr>
          <w:sz w:val="28"/>
          <w:szCs w:val="28"/>
          <w:lang w:val="kk-KZ"/>
        </w:rPr>
        <w:t>for calculation</w:t>
      </w:r>
      <w:r w:rsidRPr="0064699F">
        <w:rPr>
          <w:sz w:val="28"/>
          <w:szCs w:val="28"/>
        </w:rPr>
        <w:t xml:space="preserve"> </w:t>
      </w:r>
      <w:r w:rsidRPr="0064699F">
        <w:rPr>
          <w:bCs/>
          <w:sz w:val="28"/>
          <w:szCs w:val="28"/>
        </w:rPr>
        <w:t xml:space="preserve">basic consumer price index </w:t>
      </w:r>
      <w:r w:rsidRPr="00A73A1C">
        <w:rPr>
          <w:sz w:val="28"/>
          <w:szCs w:val="28"/>
        </w:rPr>
        <w:t xml:space="preserve">(hereinafter - </w:t>
      </w:r>
      <w:r w:rsidR="00974076">
        <w:rPr>
          <w:sz w:val="28"/>
          <w:szCs w:val="28"/>
        </w:rPr>
        <w:t>BCPI</w:t>
      </w:r>
      <w:r w:rsidRPr="00A73A1C">
        <w:rPr>
          <w:sz w:val="28"/>
          <w:szCs w:val="28"/>
        </w:rPr>
        <w:t>), methods and procedure for its calculation.</w:t>
      </w:r>
    </w:p>
    <w:p w:rsidR="00D2095D" w:rsidRPr="00A73A1C" w:rsidRDefault="00D2095D" w:rsidP="00D2095D">
      <w:pPr>
        <w:shd w:val="clear" w:color="auto" w:fill="FFFFFF"/>
        <w:suppressAutoHyphens/>
        <w:ind w:firstLine="709"/>
        <w:jc w:val="both"/>
        <w:rPr>
          <w:spacing w:val="-3"/>
          <w:sz w:val="28"/>
          <w:szCs w:val="28"/>
        </w:rPr>
      </w:pPr>
      <w:r w:rsidRPr="00A73A1C">
        <w:rPr>
          <w:sz w:val="28"/>
          <w:szCs w:val="28"/>
        </w:rPr>
        <w:t xml:space="preserve">3. This Methodology is applied by the Bureau of National Statistics of the Agency for Strategic Planning and Reforms of the Republic of Kazakhstan (hereinafter - the Bureau of National Statistics) when forming the </w:t>
      </w:r>
      <w:r w:rsidR="00974076">
        <w:rPr>
          <w:sz w:val="28"/>
          <w:szCs w:val="28"/>
        </w:rPr>
        <w:t>BCPI</w:t>
      </w:r>
      <w:r w:rsidRPr="00A73A1C">
        <w:rPr>
          <w:sz w:val="28"/>
          <w:szCs w:val="28"/>
        </w:rPr>
        <w:t>.</w:t>
      </w:r>
    </w:p>
    <w:p w:rsidR="00D2095D" w:rsidRPr="0064699F" w:rsidRDefault="00D2095D" w:rsidP="00D2095D">
      <w:pPr>
        <w:shd w:val="clear" w:color="auto" w:fill="FFFFFF"/>
        <w:suppressAutoHyphens/>
        <w:ind w:firstLine="709"/>
        <w:jc w:val="both"/>
        <w:rPr>
          <w:sz w:val="28"/>
          <w:szCs w:val="28"/>
        </w:rPr>
      </w:pPr>
      <w:r w:rsidRPr="00A73A1C">
        <w:rPr>
          <w:sz w:val="28"/>
          <w:szCs w:val="28"/>
        </w:rPr>
        <w:t>4. The methodology was developed taking into account the principles and recommendations of the Consumer Price Index Manual: Theory and Practice (2004) prepared by the International Labor Organization, the International Monetary Fund, the Organization for Economic Co-operation and Development, the Statistical Office of the European Communities, the United Nations Economic Commission for Europe Nations and the World Bank.</w:t>
      </w:r>
    </w:p>
    <w:p w:rsidR="00D2095D" w:rsidRPr="00974076" w:rsidRDefault="00D2095D" w:rsidP="00D2095D">
      <w:pPr>
        <w:pStyle w:val="CharChar4"/>
        <w:widowControl w:val="0"/>
        <w:spacing w:after="0" w:line="240" w:lineRule="auto"/>
        <w:ind w:firstLine="709"/>
        <w:jc w:val="both"/>
        <w:rPr>
          <w:rFonts w:ascii="Times New Roman" w:hAnsi="Times New Roman"/>
          <w:sz w:val="28"/>
          <w:szCs w:val="28"/>
          <w:lang w:val="en-US"/>
        </w:rPr>
      </w:pPr>
      <w:r w:rsidRPr="00974076">
        <w:rPr>
          <w:rFonts w:ascii="Times New Roman" w:hAnsi="Times New Roman"/>
          <w:sz w:val="28"/>
          <w:szCs w:val="28"/>
          <w:lang w:val="en-US"/>
        </w:rPr>
        <w:t xml:space="preserve">5. </w:t>
      </w:r>
      <w:r w:rsidR="00974076">
        <w:rPr>
          <w:rFonts w:ascii="Times New Roman" w:hAnsi="Times New Roman"/>
          <w:sz w:val="28"/>
          <w:szCs w:val="28"/>
          <w:lang w:val="en-US"/>
        </w:rPr>
        <w:t>BCPI</w:t>
      </w:r>
      <w:r w:rsidRPr="00974076">
        <w:rPr>
          <w:rFonts w:ascii="Times New Roman" w:hAnsi="Times New Roman"/>
          <w:sz w:val="28"/>
          <w:szCs w:val="28"/>
          <w:lang w:val="en-US"/>
        </w:rPr>
        <w:t xml:space="preserve"> is a derivative price index from the consumer price index (hereinafter - CPI), reflecting the long-term dynamics of price changes, </w:t>
      </w:r>
      <w:r w:rsidRPr="00974076">
        <w:rPr>
          <w:rFonts w:ascii="Times New Roman" w:hAnsi="Times New Roman"/>
          <w:spacing w:val="4"/>
          <w:sz w:val="28"/>
          <w:szCs w:val="28"/>
          <w:lang w:val="en-US"/>
        </w:rPr>
        <w:t xml:space="preserve">not </w:t>
      </w:r>
      <w:r w:rsidRPr="00974076">
        <w:rPr>
          <w:rFonts w:ascii="Times New Roman" w:hAnsi="Times New Roman"/>
          <w:spacing w:val="-1"/>
          <w:sz w:val="28"/>
          <w:szCs w:val="28"/>
          <w:lang w:val="en-US"/>
        </w:rPr>
        <w:t xml:space="preserve">affected by supply and demand shocks, seasonal, eventual and random factors, </w:t>
      </w:r>
      <w:r w:rsidRPr="00974076">
        <w:rPr>
          <w:rFonts w:ascii="Times New Roman" w:hAnsi="Times New Roman"/>
          <w:spacing w:val="-4"/>
          <w:sz w:val="28"/>
          <w:szCs w:val="28"/>
          <w:lang w:val="en-US"/>
        </w:rPr>
        <w:t xml:space="preserve">as well as administrative impact </w:t>
      </w:r>
      <w:r w:rsidRPr="00974076">
        <w:rPr>
          <w:rFonts w:ascii="Times New Roman" w:hAnsi="Times New Roman"/>
          <w:spacing w:val="-3"/>
          <w:sz w:val="28"/>
          <w:szCs w:val="28"/>
          <w:lang w:val="en-US"/>
        </w:rPr>
        <w:t>on pricing processes.</w:t>
      </w:r>
    </w:p>
    <w:p w:rsidR="00D2095D" w:rsidRPr="0064699F" w:rsidRDefault="00D2095D" w:rsidP="00D2095D">
      <w:pPr>
        <w:tabs>
          <w:tab w:val="left" w:pos="1134"/>
        </w:tabs>
        <w:ind w:firstLine="709"/>
        <w:jc w:val="both"/>
        <w:rPr>
          <w:sz w:val="28"/>
          <w:szCs w:val="28"/>
        </w:rPr>
      </w:pPr>
      <w:r w:rsidRPr="0064699F">
        <w:rPr>
          <w:sz w:val="28"/>
          <w:szCs w:val="28"/>
        </w:rPr>
        <w:t xml:space="preserve">The construction of the </w:t>
      </w:r>
      <w:r w:rsidR="00974076">
        <w:rPr>
          <w:sz w:val="28"/>
          <w:szCs w:val="28"/>
        </w:rPr>
        <w:t>BCPI</w:t>
      </w:r>
      <w:r w:rsidRPr="0064699F">
        <w:rPr>
          <w:sz w:val="28"/>
          <w:szCs w:val="28"/>
        </w:rPr>
        <w:t xml:space="preserve"> is based on the methodology for the formation of the CPI </w:t>
      </w:r>
      <w:r w:rsidRPr="0064699F">
        <w:rPr>
          <w:sz w:val="28"/>
          <w:szCs w:val="28"/>
          <w:lang w:val="kk-KZ"/>
        </w:rPr>
        <w:t>and its</w:t>
      </w:r>
      <w:r w:rsidRPr="0064699F">
        <w:rPr>
          <w:sz w:val="28"/>
          <w:szCs w:val="28"/>
        </w:rPr>
        <w:t xml:space="preserve"> </w:t>
      </w:r>
      <w:r w:rsidRPr="0064699F">
        <w:rPr>
          <w:sz w:val="28"/>
          <w:szCs w:val="28"/>
          <w:lang w:val="kk-KZ"/>
        </w:rPr>
        <w:t xml:space="preserve">and </w:t>
      </w:r>
      <w:r w:rsidRPr="0064699F">
        <w:rPr>
          <w:sz w:val="28"/>
          <w:szCs w:val="28"/>
        </w:rPr>
        <w:t>the calculation is carried out by direct elimination from the CPI:</w:t>
      </w:r>
    </w:p>
    <w:p w:rsidR="00D2095D" w:rsidRPr="0064699F" w:rsidRDefault="00D2095D" w:rsidP="00D2095D">
      <w:pPr>
        <w:numPr>
          <w:ilvl w:val="0"/>
          <w:numId w:val="12"/>
        </w:numPr>
        <w:tabs>
          <w:tab w:val="clear" w:pos="720"/>
          <w:tab w:val="num" w:pos="284"/>
          <w:tab w:val="left" w:pos="1080"/>
        </w:tabs>
        <w:ind w:left="0" w:firstLine="709"/>
        <w:jc w:val="both"/>
        <w:rPr>
          <w:sz w:val="28"/>
          <w:szCs w:val="28"/>
        </w:rPr>
      </w:pPr>
      <w:r w:rsidRPr="0064699F">
        <w:rPr>
          <w:sz w:val="28"/>
          <w:szCs w:val="28"/>
        </w:rPr>
        <w:t>individual components selected deliberately or purposefully, regardless of the actual inflationary manifestation in them at any time;</w:t>
      </w:r>
    </w:p>
    <w:p w:rsidR="00D2095D" w:rsidRPr="0064699F" w:rsidRDefault="00D2095D" w:rsidP="00D2095D">
      <w:pPr>
        <w:numPr>
          <w:ilvl w:val="0"/>
          <w:numId w:val="12"/>
        </w:numPr>
        <w:tabs>
          <w:tab w:val="clear" w:pos="720"/>
          <w:tab w:val="num" w:pos="0"/>
          <w:tab w:val="left" w:pos="1080"/>
        </w:tabs>
        <w:ind w:left="0" w:firstLine="709"/>
        <w:jc w:val="both"/>
        <w:rPr>
          <w:sz w:val="28"/>
          <w:szCs w:val="28"/>
        </w:rPr>
      </w:pPr>
      <w:r w:rsidRPr="0064699F">
        <w:rPr>
          <w:sz w:val="28"/>
          <w:szCs w:val="28"/>
        </w:rPr>
        <w:t>components, the prices of which during the period under review showed the greatest price changes at a certain point in time, regardless of their social importance and structural weight in the total population.</w:t>
      </w:r>
    </w:p>
    <w:p w:rsidR="00D2095D" w:rsidRPr="0064699F" w:rsidRDefault="00D2095D" w:rsidP="00D2095D">
      <w:pPr>
        <w:tabs>
          <w:tab w:val="left" w:pos="1080"/>
        </w:tabs>
        <w:ind w:firstLine="709"/>
        <w:jc w:val="both"/>
        <w:rPr>
          <w:sz w:val="28"/>
          <w:szCs w:val="28"/>
        </w:rPr>
      </w:pPr>
      <w:r w:rsidRPr="0064699F">
        <w:rPr>
          <w:sz w:val="28"/>
          <w:szCs w:val="28"/>
        </w:rPr>
        <w:t xml:space="preserve">The construction of </w:t>
      </w:r>
      <w:r w:rsidR="00974076">
        <w:rPr>
          <w:sz w:val="28"/>
          <w:szCs w:val="28"/>
        </w:rPr>
        <w:t>BCPI</w:t>
      </w:r>
      <w:r w:rsidR="004E7135">
        <w:rPr>
          <w:sz w:val="28"/>
          <w:szCs w:val="28"/>
        </w:rPr>
        <w:t xml:space="preserve"> is based on the information flows used in the construction of CPI. The basis is data on changes in prices for goods and services included in the CPI calculation and a weighting system that reflects the structure of indexed values.</w:t>
      </w:r>
    </w:p>
    <w:p w:rsidR="00D2095D" w:rsidRPr="0064699F" w:rsidRDefault="00D2095D" w:rsidP="00D2095D">
      <w:pPr>
        <w:ind w:firstLine="709"/>
        <w:jc w:val="both"/>
        <w:rPr>
          <w:sz w:val="28"/>
          <w:szCs w:val="28"/>
        </w:rPr>
      </w:pPr>
      <w:r w:rsidRPr="0064699F">
        <w:rPr>
          <w:sz w:val="28"/>
          <w:szCs w:val="28"/>
        </w:rPr>
        <w:lastRenderedPageBreak/>
        <w:t xml:space="preserve">6. </w:t>
      </w:r>
      <w:r w:rsidR="00974076">
        <w:rPr>
          <w:sz w:val="28"/>
          <w:szCs w:val="28"/>
        </w:rPr>
        <w:t>BCPI</w:t>
      </w:r>
      <w:r w:rsidRPr="0064699F">
        <w:rPr>
          <w:sz w:val="28"/>
          <w:szCs w:val="28"/>
        </w:rPr>
        <w:t xml:space="preserve"> is used for economic analysis, current and medium-term forecasting.</w:t>
      </w:r>
    </w:p>
    <w:p w:rsidR="00D2095D" w:rsidRPr="0064699F" w:rsidRDefault="00D2095D" w:rsidP="00D2095D">
      <w:pPr>
        <w:pStyle w:val="af2"/>
        <w:tabs>
          <w:tab w:val="left" w:pos="0"/>
          <w:tab w:val="left" w:pos="993"/>
        </w:tabs>
        <w:rPr>
          <w:rFonts w:ascii="Times New Roman" w:hAnsi="Times New Roman"/>
          <w:sz w:val="28"/>
          <w:szCs w:val="28"/>
        </w:rPr>
      </w:pPr>
    </w:p>
    <w:p w:rsidR="00D2095D" w:rsidRPr="0064699F" w:rsidRDefault="00D2095D" w:rsidP="00D2095D">
      <w:pPr>
        <w:pStyle w:val="af2"/>
        <w:tabs>
          <w:tab w:val="left" w:pos="0"/>
          <w:tab w:val="left" w:pos="993"/>
        </w:tabs>
        <w:rPr>
          <w:rFonts w:ascii="Times New Roman" w:hAnsi="Times New Roman"/>
          <w:sz w:val="28"/>
          <w:szCs w:val="28"/>
        </w:rPr>
      </w:pPr>
    </w:p>
    <w:p w:rsidR="00D2095D" w:rsidRPr="0064699F" w:rsidRDefault="00D2095D" w:rsidP="00D2095D">
      <w:pPr>
        <w:widowControl w:val="0"/>
        <w:jc w:val="center"/>
        <w:rPr>
          <w:b/>
          <w:iCs/>
          <w:sz w:val="28"/>
          <w:szCs w:val="28"/>
        </w:rPr>
      </w:pPr>
      <w:r w:rsidRPr="0064699F">
        <w:rPr>
          <w:b/>
          <w:iCs/>
          <w:sz w:val="28"/>
          <w:szCs w:val="28"/>
        </w:rPr>
        <w:t xml:space="preserve">Chapter 2 Methodological Approaches for Measuring </w:t>
      </w:r>
      <w:r w:rsidR="00974076">
        <w:rPr>
          <w:b/>
          <w:iCs/>
          <w:sz w:val="28"/>
          <w:szCs w:val="28"/>
        </w:rPr>
        <w:t>BCPI</w:t>
      </w:r>
    </w:p>
    <w:p w:rsidR="00D2095D" w:rsidRPr="0064699F" w:rsidRDefault="00D2095D" w:rsidP="00D2095D">
      <w:pPr>
        <w:ind w:left="709"/>
        <w:jc w:val="center"/>
        <w:rPr>
          <w:iCs/>
          <w:sz w:val="28"/>
          <w:szCs w:val="28"/>
        </w:rPr>
      </w:pPr>
    </w:p>
    <w:p w:rsidR="00D2095D" w:rsidRPr="0064699F" w:rsidRDefault="00D2095D" w:rsidP="00D2095D">
      <w:pPr>
        <w:pStyle w:val="af2"/>
        <w:rPr>
          <w:rFonts w:ascii="Times New Roman" w:hAnsi="Times New Roman"/>
          <w:sz w:val="28"/>
          <w:szCs w:val="28"/>
        </w:rPr>
      </w:pPr>
      <w:r w:rsidRPr="0064699F">
        <w:rPr>
          <w:rFonts w:ascii="Times New Roman" w:hAnsi="Times New Roman"/>
          <w:sz w:val="28"/>
          <w:szCs w:val="28"/>
        </w:rPr>
        <w:t xml:space="preserve">7. The </w:t>
      </w:r>
      <w:r w:rsidR="00974076">
        <w:rPr>
          <w:rFonts w:ascii="Times New Roman" w:hAnsi="Times New Roman"/>
          <w:sz w:val="28"/>
          <w:szCs w:val="28"/>
        </w:rPr>
        <w:t>BCPI</w:t>
      </w:r>
      <w:r w:rsidRPr="0064699F">
        <w:rPr>
          <w:rFonts w:ascii="Times New Roman" w:hAnsi="Times New Roman"/>
          <w:sz w:val="28"/>
          <w:szCs w:val="28"/>
        </w:rPr>
        <w:t xml:space="preserve"> indicator takes into account the main long-term price trend, which reflects the state of demand in the economy and eliminates the impact of price shocks.</w:t>
      </w:r>
    </w:p>
    <w:p w:rsidR="00D2095D" w:rsidRPr="0064699F" w:rsidRDefault="00D2095D" w:rsidP="00D2095D">
      <w:pPr>
        <w:pStyle w:val="af2"/>
        <w:tabs>
          <w:tab w:val="left" w:pos="0"/>
          <w:tab w:val="left" w:pos="993"/>
        </w:tabs>
        <w:rPr>
          <w:rFonts w:ascii="Times New Roman" w:hAnsi="Times New Roman"/>
          <w:sz w:val="28"/>
          <w:szCs w:val="28"/>
        </w:rPr>
      </w:pPr>
      <w:r w:rsidRPr="0064699F">
        <w:rPr>
          <w:rFonts w:ascii="Times New Roman" w:hAnsi="Times New Roman"/>
          <w:sz w:val="28"/>
          <w:szCs w:val="28"/>
        </w:rPr>
        <w:t>Price shocks are divided into temporary and long-term inflation price shocks. General formula for price shocks:</w:t>
      </w:r>
    </w:p>
    <w:p w:rsidR="00D2095D" w:rsidRPr="0064699F" w:rsidRDefault="00D2095D" w:rsidP="00D2095D">
      <w:pPr>
        <w:tabs>
          <w:tab w:val="right" w:pos="9639"/>
        </w:tabs>
        <w:spacing w:before="120" w:after="120"/>
        <w:ind w:left="3402"/>
        <w:rPr>
          <w:sz w:val="28"/>
          <w:szCs w:val="28"/>
        </w:rPr>
      </w:pPr>
      <w:r w:rsidRPr="0064699F">
        <w:rPr>
          <w:snapToGrid w:val="0"/>
          <w:position w:val="-16"/>
          <w:sz w:val="28"/>
          <w:szCs w:val="28"/>
        </w:rPr>
        <w:object w:dxaOrig="17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5pt" o:ole="" fillcolor="window">
            <v:imagedata r:id="rId7" o:title=""/>
          </v:shape>
          <o:OLEObject Type="Embed" ProgID="Equation.3" ShapeID="_x0000_i1025" DrawAspect="Content" ObjectID="_1745396332" r:id="rId8"/>
        </w:object>
      </w:r>
      <w:r w:rsidRPr="0064699F">
        <w:rPr>
          <w:sz w:val="28"/>
          <w:szCs w:val="28"/>
        </w:rPr>
        <w:t xml:space="preserve">, </w:t>
      </w:r>
      <w:r w:rsidRPr="0064699F">
        <w:rPr>
          <w:sz w:val="28"/>
          <w:szCs w:val="28"/>
        </w:rPr>
        <w:tab/>
        <w:t>(1)</w:t>
      </w:r>
    </w:p>
    <w:p w:rsidR="00D2095D" w:rsidRPr="0064699F" w:rsidRDefault="004E7135" w:rsidP="00D2095D">
      <w:pPr>
        <w:ind w:firstLine="709"/>
        <w:rPr>
          <w:sz w:val="28"/>
          <w:szCs w:val="28"/>
        </w:rPr>
      </w:pPr>
      <w:r>
        <w:rPr>
          <w:sz w:val="28"/>
          <w:szCs w:val="28"/>
        </w:rPr>
        <w:t>where:</w:t>
      </w:r>
    </w:p>
    <w:p w:rsidR="00D2095D" w:rsidRPr="0064699F" w:rsidRDefault="00D2095D" w:rsidP="00D2095D">
      <w:pPr>
        <w:widowControl w:val="0"/>
        <w:tabs>
          <w:tab w:val="left" w:pos="7740"/>
        </w:tabs>
        <w:ind w:firstLine="709"/>
        <w:rPr>
          <w:snapToGrid w:val="0"/>
          <w:sz w:val="28"/>
          <w:szCs w:val="28"/>
        </w:rPr>
      </w:pPr>
      <w:r w:rsidRPr="0064699F">
        <w:rPr>
          <w:snapToGrid w:val="0"/>
          <w:position w:val="-12"/>
          <w:sz w:val="28"/>
          <w:szCs w:val="28"/>
        </w:rPr>
        <w:object w:dxaOrig="240" w:dyaOrig="360">
          <v:shape id="_x0000_i1026" type="#_x0000_t75" style="width:15.5pt;height:17.5pt" o:ole="" fillcolor="window">
            <v:imagedata r:id="rId9" o:title=""/>
          </v:shape>
          <o:OLEObject Type="Embed" ProgID="Equation.3" ShapeID="_x0000_i1026" DrawAspect="Content" ObjectID="_1745396333" r:id="rId10"/>
        </w:object>
      </w:r>
      <w:r w:rsidRPr="0064699F">
        <w:rPr>
          <w:sz w:val="28"/>
          <w:szCs w:val="28"/>
        </w:rPr>
        <w:t xml:space="preserve">– </w:t>
      </w:r>
      <w:r w:rsidRPr="0064699F">
        <w:rPr>
          <w:snapToGrid w:val="0"/>
          <w:sz w:val="28"/>
          <w:szCs w:val="28"/>
        </w:rPr>
        <w:t>price shocks to inflation;</w:t>
      </w:r>
    </w:p>
    <w:p w:rsidR="00D2095D" w:rsidRPr="0064699F" w:rsidRDefault="00D2095D" w:rsidP="00D2095D">
      <w:pPr>
        <w:widowControl w:val="0"/>
        <w:tabs>
          <w:tab w:val="left" w:pos="7740"/>
        </w:tabs>
        <w:ind w:firstLine="709"/>
        <w:rPr>
          <w:sz w:val="28"/>
          <w:szCs w:val="28"/>
        </w:rPr>
      </w:pPr>
      <w:r w:rsidRPr="0064699F">
        <w:rPr>
          <w:snapToGrid w:val="0"/>
          <w:position w:val="-12"/>
          <w:sz w:val="28"/>
          <w:szCs w:val="28"/>
        </w:rPr>
        <w:object w:dxaOrig="279" w:dyaOrig="360">
          <v:shape id="_x0000_i1027" type="#_x0000_t75" style="width:18pt;height:15pt" o:ole="" fillcolor="window">
            <v:imagedata r:id="rId11" o:title=""/>
          </v:shape>
          <o:OLEObject Type="Embed" ProgID="Equation.3" ShapeID="_x0000_i1027" DrawAspect="Content" ObjectID="_1745396334" r:id="rId12"/>
        </w:object>
      </w:r>
      <w:r w:rsidRPr="0064699F">
        <w:rPr>
          <w:sz w:val="28"/>
          <w:szCs w:val="28"/>
        </w:rPr>
        <w:t>– short-term price shocks;</w:t>
      </w:r>
    </w:p>
    <w:p w:rsidR="00D2095D" w:rsidRPr="0064699F" w:rsidRDefault="00D2095D" w:rsidP="00D2095D">
      <w:pPr>
        <w:widowControl w:val="0"/>
        <w:tabs>
          <w:tab w:val="left" w:pos="7740"/>
        </w:tabs>
        <w:ind w:firstLine="709"/>
        <w:rPr>
          <w:sz w:val="28"/>
          <w:szCs w:val="28"/>
        </w:rPr>
      </w:pPr>
      <w:r w:rsidRPr="0064699F">
        <w:rPr>
          <w:snapToGrid w:val="0"/>
          <w:position w:val="-12"/>
          <w:sz w:val="28"/>
          <w:szCs w:val="28"/>
        </w:rPr>
        <w:object w:dxaOrig="260" w:dyaOrig="360">
          <v:shape id="_x0000_i1028" type="#_x0000_t75" style="width:15.5pt;height:15pt" o:ole="" fillcolor="window">
            <v:imagedata r:id="rId13" o:title=""/>
          </v:shape>
          <o:OLEObject Type="Embed" ProgID="Equation.3" ShapeID="_x0000_i1028" DrawAspect="Content" ObjectID="_1745396335" r:id="rId14"/>
        </w:object>
      </w:r>
      <w:r w:rsidRPr="0064699F">
        <w:rPr>
          <w:sz w:val="28"/>
          <w:szCs w:val="28"/>
        </w:rPr>
        <w:t>– expected future price shocks.</w:t>
      </w:r>
    </w:p>
    <w:p w:rsidR="00D2095D" w:rsidRPr="0064699F" w:rsidRDefault="00D2095D" w:rsidP="00D2095D">
      <w:pPr>
        <w:widowControl w:val="0"/>
        <w:ind w:firstLine="709"/>
        <w:jc w:val="both"/>
        <w:rPr>
          <w:sz w:val="28"/>
          <w:szCs w:val="28"/>
        </w:rPr>
      </w:pPr>
      <w:r w:rsidRPr="0064699F">
        <w:rPr>
          <w:snapToGrid w:val="0"/>
          <w:sz w:val="28"/>
          <w:szCs w:val="28"/>
        </w:rPr>
        <w:t xml:space="preserve">The first component </w:t>
      </w:r>
      <w:r w:rsidRPr="0064699F">
        <w:rPr>
          <w:snapToGrid w:val="0"/>
          <w:position w:val="-12"/>
          <w:sz w:val="28"/>
          <w:szCs w:val="28"/>
        </w:rPr>
        <w:object w:dxaOrig="279" w:dyaOrig="360">
          <v:shape id="_x0000_i1029" type="#_x0000_t75" style="width:14pt;height:18pt" o:ole="" fillcolor="window">
            <v:imagedata r:id="rId15" o:title=""/>
          </v:shape>
          <o:OLEObject Type="Embed" ProgID="Equation.3" ShapeID="_x0000_i1029" DrawAspect="Content" ObjectID="_1745396336" r:id="rId16"/>
        </w:object>
      </w:r>
      <w:r w:rsidRPr="0064699F">
        <w:rPr>
          <w:sz w:val="28"/>
          <w:szCs w:val="28"/>
        </w:rPr>
        <w:t xml:space="preserve">, </w:t>
      </w:r>
      <w:r w:rsidRPr="0064699F">
        <w:rPr>
          <w:snapToGrid w:val="0"/>
          <w:sz w:val="28"/>
          <w:szCs w:val="28"/>
        </w:rPr>
        <w:t xml:space="preserve">covers the effect of temporary relative price shocks affecting the volatile components of certain types of food and energy resources. </w:t>
      </w:r>
      <w:r w:rsidRPr="0064699F">
        <w:rPr>
          <w:sz w:val="28"/>
          <w:szCs w:val="28"/>
        </w:rPr>
        <w:t xml:space="preserve">The second component </w:t>
      </w:r>
      <w:r w:rsidRPr="0064699F">
        <w:rPr>
          <w:snapToGrid w:val="0"/>
          <w:position w:val="-12"/>
          <w:sz w:val="28"/>
          <w:szCs w:val="28"/>
        </w:rPr>
        <w:object w:dxaOrig="260" w:dyaOrig="360">
          <v:shape id="_x0000_i1030" type="#_x0000_t75" style="width:13pt;height:18pt" o:ole="" fillcolor="window">
            <v:imagedata r:id="rId17" o:title=""/>
          </v:shape>
          <o:OLEObject Type="Embed" ProgID="Equation.3" ShapeID="_x0000_i1030" DrawAspect="Content" ObjectID="_1745396337" r:id="rId18"/>
        </w:object>
      </w:r>
      <w:r w:rsidRPr="0064699F">
        <w:rPr>
          <w:sz w:val="28"/>
          <w:szCs w:val="28"/>
        </w:rPr>
        <w:t xml:space="preserve">, expresses expected future shocks to inflation. The difference between them is determined by the period of continuation of the influence of these effects on the general inflation. Shocks </w:t>
      </w:r>
      <w:r w:rsidRPr="0064699F">
        <w:rPr>
          <w:snapToGrid w:val="0"/>
          <w:position w:val="-12"/>
          <w:sz w:val="28"/>
          <w:szCs w:val="28"/>
        </w:rPr>
        <w:object w:dxaOrig="260" w:dyaOrig="360">
          <v:shape id="_x0000_i1031" type="#_x0000_t75" style="width:13pt;height:18pt" o:ole="" fillcolor="window">
            <v:imagedata r:id="rId17" o:title=""/>
          </v:shape>
          <o:OLEObject Type="Embed" ProgID="Equation.3" ShapeID="_x0000_i1031" DrawAspect="Content" ObjectID="_1745396338" r:id="rId19"/>
        </w:object>
      </w:r>
      <w:r w:rsidRPr="0064699F">
        <w:rPr>
          <w:sz w:val="28"/>
          <w:szCs w:val="28"/>
        </w:rPr>
        <w:t xml:space="preserve">generated by supply and demand affect inflation after a certain period of time, while price shocks </w:t>
      </w:r>
      <w:r w:rsidRPr="0064699F">
        <w:rPr>
          <w:snapToGrid w:val="0"/>
          <w:position w:val="-12"/>
          <w:sz w:val="28"/>
          <w:szCs w:val="28"/>
        </w:rPr>
        <w:object w:dxaOrig="279" w:dyaOrig="360">
          <v:shape id="_x0000_i1032" type="#_x0000_t75" style="width:14pt;height:18pt" o:ole="" fillcolor="window">
            <v:imagedata r:id="rId20" o:title=""/>
          </v:shape>
          <o:OLEObject Type="Embed" ProgID="Equation.3" ShapeID="_x0000_i1032" DrawAspect="Content" ObjectID="_1745396339" r:id="rId21"/>
        </w:object>
      </w:r>
      <w:r w:rsidRPr="0064699F">
        <w:rPr>
          <w:sz w:val="28"/>
          <w:szCs w:val="28"/>
        </w:rPr>
        <w:t>are reflected in measured inflation.</w:t>
      </w:r>
    </w:p>
    <w:p w:rsidR="00D2095D" w:rsidRPr="0064699F" w:rsidRDefault="00D2095D" w:rsidP="00D2095D">
      <w:pPr>
        <w:widowControl w:val="0"/>
        <w:spacing w:after="120"/>
        <w:ind w:firstLine="709"/>
        <w:jc w:val="both"/>
        <w:rPr>
          <w:sz w:val="28"/>
          <w:szCs w:val="28"/>
        </w:rPr>
      </w:pPr>
      <w:r w:rsidRPr="0064699F">
        <w:rPr>
          <w:sz w:val="28"/>
          <w:szCs w:val="28"/>
        </w:rPr>
        <w:t xml:space="preserve">8. Price shocks, in terms of their duration, provide for </w:t>
      </w:r>
      <w:r w:rsidRPr="0064699F">
        <w:rPr>
          <w:snapToGrid w:val="0"/>
          <w:sz w:val="28"/>
          <w:szCs w:val="28"/>
        </w:rPr>
        <w:t xml:space="preserve">two options for determining </w:t>
      </w:r>
      <w:r w:rsidR="00974076">
        <w:rPr>
          <w:snapToGrid w:val="0"/>
          <w:sz w:val="28"/>
          <w:szCs w:val="28"/>
        </w:rPr>
        <w:t>BCPI</w:t>
      </w:r>
      <w:r w:rsidRPr="0064699F">
        <w:rPr>
          <w:snapToGrid w:val="0"/>
          <w:sz w:val="28"/>
          <w:szCs w:val="28"/>
        </w:rPr>
        <w:t>:</w:t>
      </w:r>
    </w:p>
    <w:p w:rsidR="00D2095D" w:rsidRPr="0064699F" w:rsidRDefault="00D2095D" w:rsidP="00D2095D">
      <w:pPr>
        <w:widowControl w:val="0"/>
        <w:tabs>
          <w:tab w:val="right" w:pos="9639"/>
        </w:tabs>
        <w:ind w:left="3402" w:right="-2"/>
        <w:jc w:val="right"/>
        <w:rPr>
          <w:snapToGrid w:val="0"/>
          <w:sz w:val="28"/>
          <w:szCs w:val="28"/>
        </w:rPr>
      </w:pPr>
      <w:r w:rsidRPr="0064699F">
        <w:rPr>
          <w:snapToGrid w:val="0"/>
          <w:position w:val="-12"/>
          <w:sz w:val="28"/>
          <w:szCs w:val="28"/>
        </w:rPr>
        <w:object w:dxaOrig="1440" w:dyaOrig="460">
          <v:shape id="_x0000_i1033" type="#_x0000_t75" style="width:75pt;height:18pt" o:ole="" fillcolor="window">
            <v:imagedata r:id="rId22" o:title=""/>
          </v:shape>
          <o:OLEObject Type="Embed" ProgID="Equation.3" ShapeID="_x0000_i1033" DrawAspect="Content" ObjectID="_1745396340" r:id="rId23"/>
        </w:object>
      </w:r>
      <w:r w:rsidRPr="0064699F">
        <w:rPr>
          <w:sz w:val="28"/>
          <w:szCs w:val="28"/>
        </w:rPr>
        <w:t xml:space="preserve">, </w:t>
      </w:r>
      <w:r w:rsidRPr="0064699F">
        <w:rPr>
          <w:sz w:val="28"/>
          <w:szCs w:val="28"/>
        </w:rPr>
        <w:tab/>
      </w:r>
      <w:r w:rsidRPr="0064699F">
        <w:rPr>
          <w:snapToGrid w:val="0"/>
          <w:sz w:val="28"/>
          <w:szCs w:val="28"/>
        </w:rPr>
        <w:t>(2)</w:t>
      </w:r>
    </w:p>
    <w:p w:rsidR="00D2095D" w:rsidRPr="0064699F" w:rsidRDefault="00D2095D" w:rsidP="00D2095D">
      <w:pPr>
        <w:widowControl w:val="0"/>
        <w:tabs>
          <w:tab w:val="right" w:pos="9639"/>
        </w:tabs>
        <w:ind w:left="3402"/>
        <w:rPr>
          <w:sz w:val="28"/>
          <w:szCs w:val="28"/>
        </w:rPr>
      </w:pPr>
      <w:r w:rsidRPr="0064699F">
        <w:rPr>
          <w:snapToGrid w:val="0"/>
          <w:position w:val="-12"/>
          <w:sz w:val="28"/>
          <w:szCs w:val="28"/>
        </w:rPr>
        <w:object w:dxaOrig="1880" w:dyaOrig="460">
          <v:shape id="_x0000_i1034" type="#_x0000_t75" style="width:98pt;height:17.5pt" o:ole="" fillcolor="window">
            <v:imagedata r:id="rId24" o:title=""/>
          </v:shape>
          <o:OLEObject Type="Embed" ProgID="Equation.3" ShapeID="_x0000_i1034" DrawAspect="Content" ObjectID="_1745396341" r:id="rId25"/>
        </w:object>
      </w:r>
      <w:r w:rsidRPr="0064699F">
        <w:rPr>
          <w:sz w:val="28"/>
          <w:szCs w:val="28"/>
        </w:rPr>
        <w:t xml:space="preserve">, </w:t>
      </w:r>
      <w:r w:rsidRPr="0064699F">
        <w:rPr>
          <w:sz w:val="28"/>
          <w:szCs w:val="28"/>
        </w:rPr>
        <w:tab/>
      </w:r>
      <w:r w:rsidRPr="0064699F">
        <w:rPr>
          <w:snapToGrid w:val="0"/>
          <w:sz w:val="28"/>
          <w:szCs w:val="28"/>
        </w:rPr>
        <w:t>(3)</w:t>
      </w:r>
    </w:p>
    <w:p w:rsidR="00D2095D" w:rsidRPr="0064699F" w:rsidRDefault="004E7135" w:rsidP="00D2095D">
      <w:pPr>
        <w:widowControl w:val="0"/>
        <w:tabs>
          <w:tab w:val="left" w:pos="7740"/>
        </w:tabs>
        <w:spacing w:before="120"/>
        <w:ind w:firstLine="709"/>
        <w:rPr>
          <w:snapToGrid w:val="0"/>
          <w:sz w:val="28"/>
          <w:szCs w:val="28"/>
        </w:rPr>
      </w:pPr>
      <w:r>
        <w:rPr>
          <w:sz w:val="28"/>
          <w:szCs w:val="28"/>
        </w:rPr>
        <w:t>where:</w:t>
      </w:r>
    </w:p>
    <w:p w:rsidR="00D2095D" w:rsidRPr="0064699F" w:rsidRDefault="00D2095D" w:rsidP="00D2095D">
      <w:pPr>
        <w:widowControl w:val="0"/>
        <w:tabs>
          <w:tab w:val="left" w:pos="7740"/>
        </w:tabs>
        <w:ind w:firstLine="709"/>
        <w:rPr>
          <w:sz w:val="28"/>
          <w:szCs w:val="28"/>
        </w:rPr>
      </w:pPr>
      <w:r w:rsidRPr="0064699F">
        <w:rPr>
          <w:snapToGrid w:val="0"/>
          <w:position w:val="-12"/>
          <w:sz w:val="28"/>
          <w:szCs w:val="28"/>
        </w:rPr>
        <w:object w:dxaOrig="360" w:dyaOrig="380">
          <v:shape id="_x0000_i1035" type="#_x0000_t75" style="width:18pt;height:19pt" o:ole="" fillcolor="window">
            <v:imagedata r:id="rId26" o:title=""/>
          </v:shape>
          <o:OLEObject Type="Embed" ProgID="Equation.3" ShapeID="_x0000_i1035" DrawAspect="Content" ObjectID="_1745396342" r:id="rId27"/>
        </w:object>
      </w:r>
      <w:r w:rsidRPr="0064699F">
        <w:rPr>
          <w:sz w:val="28"/>
          <w:szCs w:val="28"/>
        </w:rPr>
        <w:t xml:space="preserve">, </w:t>
      </w:r>
      <w:r w:rsidRPr="0064699F">
        <w:rPr>
          <w:snapToGrid w:val="0"/>
          <w:position w:val="-12"/>
          <w:sz w:val="28"/>
          <w:szCs w:val="28"/>
        </w:rPr>
        <w:object w:dxaOrig="380" w:dyaOrig="380">
          <v:shape id="_x0000_i1036" type="#_x0000_t75" style="width:19pt;height:19pt" o:ole="" fillcolor="window">
            <v:imagedata r:id="rId28" o:title=""/>
          </v:shape>
          <o:OLEObject Type="Embed" ProgID="Equation.3" ShapeID="_x0000_i1036" DrawAspect="Content" ObjectID="_1745396343" r:id="rId29"/>
        </w:object>
      </w:r>
      <w:r w:rsidRPr="0064699F">
        <w:rPr>
          <w:sz w:val="28"/>
          <w:szCs w:val="28"/>
        </w:rPr>
        <w:t xml:space="preserve">– </w:t>
      </w:r>
      <w:r w:rsidR="00974076">
        <w:rPr>
          <w:sz w:val="28"/>
          <w:szCs w:val="28"/>
        </w:rPr>
        <w:t>BCPI</w:t>
      </w:r>
      <w:r w:rsidRPr="0064699F">
        <w:rPr>
          <w:sz w:val="28"/>
          <w:szCs w:val="28"/>
        </w:rPr>
        <w:t xml:space="preserve"> </w:t>
      </w:r>
      <w:r w:rsidRPr="0064699F">
        <w:rPr>
          <w:snapToGrid w:val="0"/>
          <w:sz w:val="28"/>
          <w:szCs w:val="28"/>
        </w:rPr>
        <w:t>;</w:t>
      </w:r>
    </w:p>
    <w:p w:rsidR="00D2095D" w:rsidRPr="0064699F" w:rsidRDefault="00D2095D" w:rsidP="00D2095D">
      <w:pPr>
        <w:widowControl w:val="0"/>
        <w:tabs>
          <w:tab w:val="left" w:pos="7740"/>
        </w:tabs>
        <w:ind w:firstLine="709"/>
        <w:rPr>
          <w:snapToGrid w:val="0"/>
          <w:sz w:val="28"/>
          <w:szCs w:val="28"/>
        </w:rPr>
      </w:pPr>
      <w:r w:rsidRPr="0064699F">
        <w:rPr>
          <w:snapToGrid w:val="0"/>
          <w:position w:val="-12"/>
          <w:sz w:val="28"/>
          <w:szCs w:val="28"/>
        </w:rPr>
        <w:object w:dxaOrig="300" w:dyaOrig="380">
          <v:shape id="_x0000_i1037" type="#_x0000_t75" style="width:15pt;height:19pt" o:ole="" fillcolor="window">
            <v:imagedata r:id="rId30" o:title=""/>
          </v:shape>
          <o:OLEObject Type="Embed" ProgID="Equation.3" ShapeID="_x0000_i1037" DrawAspect="Content" ObjectID="_1745396344" r:id="rId31"/>
        </w:object>
      </w:r>
      <w:r w:rsidRPr="0064699F">
        <w:rPr>
          <w:snapToGrid w:val="0"/>
          <w:sz w:val="28"/>
          <w:szCs w:val="28"/>
        </w:rPr>
        <w:t>– CPI;</w:t>
      </w:r>
    </w:p>
    <w:p w:rsidR="00D2095D" w:rsidRPr="0064699F" w:rsidRDefault="00D2095D" w:rsidP="00D2095D">
      <w:pPr>
        <w:widowControl w:val="0"/>
        <w:tabs>
          <w:tab w:val="left" w:pos="7740"/>
        </w:tabs>
        <w:ind w:firstLine="709"/>
        <w:rPr>
          <w:sz w:val="28"/>
          <w:szCs w:val="28"/>
        </w:rPr>
      </w:pPr>
      <w:r w:rsidRPr="0064699F">
        <w:rPr>
          <w:snapToGrid w:val="0"/>
          <w:position w:val="-12"/>
          <w:sz w:val="28"/>
          <w:szCs w:val="28"/>
        </w:rPr>
        <w:object w:dxaOrig="279" w:dyaOrig="360">
          <v:shape id="_x0000_i1038" type="#_x0000_t75" style="width:18.5pt;height:20pt" o:ole="" fillcolor="window">
            <v:imagedata r:id="rId11" o:title=""/>
          </v:shape>
          <o:OLEObject Type="Embed" ProgID="Equation.3" ShapeID="_x0000_i1038" DrawAspect="Content" ObjectID="_1745396345" r:id="rId32"/>
        </w:object>
      </w:r>
      <w:r w:rsidRPr="0064699F">
        <w:rPr>
          <w:sz w:val="28"/>
          <w:szCs w:val="28"/>
        </w:rPr>
        <w:t>– short-term price shocks;</w:t>
      </w:r>
    </w:p>
    <w:p w:rsidR="00D2095D" w:rsidRPr="0064699F" w:rsidRDefault="00D2095D" w:rsidP="00D2095D">
      <w:pPr>
        <w:widowControl w:val="0"/>
        <w:tabs>
          <w:tab w:val="left" w:pos="7740"/>
        </w:tabs>
        <w:ind w:firstLine="709"/>
        <w:rPr>
          <w:sz w:val="28"/>
          <w:szCs w:val="28"/>
        </w:rPr>
      </w:pPr>
      <w:r w:rsidRPr="0064699F">
        <w:rPr>
          <w:snapToGrid w:val="0"/>
          <w:position w:val="-12"/>
          <w:sz w:val="28"/>
          <w:szCs w:val="28"/>
        </w:rPr>
        <w:object w:dxaOrig="260" w:dyaOrig="360">
          <v:shape id="_x0000_i1039" type="#_x0000_t75" style="width:15.5pt;height:19pt" o:ole="" fillcolor="window">
            <v:imagedata r:id="rId13" o:title=""/>
          </v:shape>
          <o:OLEObject Type="Embed" ProgID="Equation.3" ShapeID="_x0000_i1039" DrawAspect="Content" ObjectID="_1745396346" r:id="rId33"/>
        </w:object>
      </w:r>
      <w:r w:rsidRPr="0064699F">
        <w:rPr>
          <w:sz w:val="28"/>
          <w:szCs w:val="28"/>
        </w:rPr>
        <w:t>– expected future price shocks.</w:t>
      </w:r>
    </w:p>
    <w:p w:rsidR="00D2095D" w:rsidRPr="0064699F" w:rsidRDefault="00D2095D" w:rsidP="00D2095D">
      <w:pPr>
        <w:pStyle w:val="af2"/>
        <w:tabs>
          <w:tab w:val="left" w:pos="0"/>
        </w:tabs>
        <w:rPr>
          <w:rFonts w:ascii="Times New Roman" w:hAnsi="Times New Roman"/>
          <w:sz w:val="28"/>
          <w:szCs w:val="28"/>
        </w:rPr>
      </w:pPr>
      <w:r w:rsidRPr="0064699F">
        <w:rPr>
          <w:rFonts w:ascii="Times New Roman" w:hAnsi="Times New Roman"/>
          <w:sz w:val="28"/>
          <w:szCs w:val="28"/>
        </w:rPr>
        <w:t xml:space="preserve">The choice between approaches to determine </w:t>
      </w:r>
      <w:r w:rsidR="00974076">
        <w:rPr>
          <w:rFonts w:ascii="Times New Roman" w:hAnsi="Times New Roman"/>
          <w:sz w:val="28"/>
          <w:szCs w:val="28"/>
        </w:rPr>
        <w:t>BCPI</w:t>
      </w:r>
      <w:r w:rsidRPr="0064699F">
        <w:rPr>
          <w:rFonts w:ascii="Times New Roman" w:hAnsi="Times New Roman"/>
          <w:sz w:val="28"/>
          <w:szCs w:val="28"/>
        </w:rPr>
        <w:t xml:space="preserve"> depends on the object of measurement. When excluding the influence of reversible price shocks in the long-term development of the inflationary process, it is appropriate to measure </w:t>
      </w:r>
      <w:r w:rsidR="00974076">
        <w:rPr>
          <w:rFonts w:ascii="Times New Roman" w:hAnsi="Times New Roman"/>
          <w:sz w:val="28"/>
          <w:szCs w:val="28"/>
        </w:rPr>
        <w:t>BCPI</w:t>
      </w:r>
      <w:r w:rsidR="004E7135">
        <w:rPr>
          <w:rFonts w:ascii="Times New Roman" w:hAnsi="Times New Roman"/>
          <w:sz w:val="28"/>
          <w:szCs w:val="28"/>
        </w:rPr>
        <w:t xml:space="preserve"> </w:t>
      </w:r>
      <w:r w:rsidRPr="0064699F">
        <w:rPr>
          <w:rFonts w:ascii="Times New Roman" w:hAnsi="Times New Roman"/>
          <w:snapToGrid w:val="0"/>
          <w:position w:val="-12"/>
          <w:sz w:val="28"/>
          <w:szCs w:val="28"/>
        </w:rPr>
        <w:object w:dxaOrig="360" w:dyaOrig="380">
          <v:shape id="_x0000_i1040" type="#_x0000_t75" style="width:18pt;height:19pt" o:ole="" fillcolor="window">
            <v:imagedata r:id="rId26" o:title=""/>
          </v:shape>
          <o:OLEObject Type="Embed" ProgID="Equation.3" ShapeID="_x0000_i1040" DrawAspect="Content" ObjectID="_1745396347" r:id="rId34"/>
        </w:object>
      </w:r>
      <w:r w:rsidRPr="0064699F">
        <w:rPr>
          <w:rFonts w:ascii="Times New Roman" w:hAnsi="Times New Roman"/>
          <w:sz w:val="28"/>
          <w:szCs w:val="28"/>
        </w:rPr>
        <w:t xml:space="preserve">, which is determined by excluding shocks that have a short-term impact from general inflation. To eliminate one-time price shocks with a permanent effect, the measurement of </w:t>
      </w:r>
      <w:r w:rsidR="00974076">
        <w:rPr>
          <w:rFonts w:ascii="Times New Roman" w:hAnsi="Times New Roman"/>
          <w:sz w:val="28"/>
          <w:szCs w:val="28"/>
        </w:rPr>
        <w:t>BCPI</w:t>
      </w:r>
      <w:r w:rsidRPr="0064699F">
        <w:rPr>
          <w:rFonts w:ascii="Times New Roman" w:hAnsi="Times New Roman"/>
          <w:sz w:val="28"/>
          <w:szCs w:val="28"/>
        </w:rPr>
        <w:t xml:space="preserve"> is preferable </w:t>
      </w:r>
      <w:r w:rsidRPr="0064699F">
        <w:rPr>
          <w:rFonts w:ascii="Times New Roman" w:hAnsi="Times New Roman"/>
          <w:snapToGrid w:val="0"/>
          <w:position w:val="-12"/>
          <w:sz w:val="28"/>
          <w:szCs w:val="28"/>
        </w:rPr>
        <w:object w:dxaOrig="380" w:dyaOrig="380">
          <v:shape id="_x0000_i1041" type="#_x0000_t75" style="width:19pt;height:19pt" o:ole="" fillcolor="window">
            <v:imagedata r:id="rId35" o:title=""/>
          </v:shape>
          <o:OLEObject Type="Embed" ProgID="Equation.3" ShapeID="_x0000_i1041" DrawAspect="Content" ObjectID="_1745396348" r:id="rId36"/>
        </w:object>
      </w:r>
      <w:r w:rsidRPr="0064699F">
        <w:rPr>
          <w:rFonts w:ascii="Times New Roman" w:hAnsi="Times New Roman"/>
          <w:sz w:val="28"/>
          <w:szCs w:val="28"/>
        </w:rPr>
        <w:t>.</w:t>
      </w:r>
    </w:p>
    <w:p w:rsidR="00D2095D" w:rsidRPr="0064699F" w:rsidRDefault="00D2095D" w:rsidP="00D2095D">
      <w:pPr>
        <w:pStyle w:val="af2"/>
        <w:tabs>
          <w:tab w:val="left" w:pos="0"/>
        </w:tabs>
        <w:rPr>
          <w:rFonts w:ascii="Times New Roman" w:hAnsi="Times New Roman"/>
          <w:sz w:val="28"/>
          <w:szCs w:val="28"/>
        </w:rPr>
      </w:pPr>
    </w:p>
    <w:p w:rsidR="00D2095D" w:rsidRPr="0064699F" w:rsidRDefault="00D2095D" w:rsidP="00D2095D">
      <w:pPr>
        <w:pStyle w:val="af2"/>
        <w:tabs>
          <w:tab w:val="left" w:pos="0"/>
        </w:tabs>
        <w:rPr>
          <w:rFonts w:ascii="Times New Roman" w:hAnsi="Times New Roman"/>
          <w:sz w:val="28"/>
          <w:szCs w:val="28"/>
        </w:rPr>
      </w:pPr>
    </w:p>
    <w:p w:rsidR="00D2095D" w:rsidRPr="0064699F" w:rsidRDefault="00D2095D" w:rsidP="00D2095D">
      <w:pPr>
        <w:widowControl w:val="0"/>
        <w:jc w:val="center"/>
        <w:rPr>
          <w:b/>
          <w:iCs/>
          <w:sz w:val="28"/>
          <w:szCs w:val="28"/>
        </w:rPr>
      </w:pPr>
      <w:r w:rsidRPr="0064699F">
        <w:rPr>
          <w:b/>
          <w:iCs/>
          <w:sz w:val="28"/>
          <w:szCs w:val="28"/>
        </w:rPr>
        <w:lastRenderedPageBreak/>
        <w:t xml:space="preserve">Chapter 3. </w:t>
      </w:r>
      <w:r w:rsidR="00974076" w:rsidRPr="0064699F">
        <w:rPr>
          <w:b/>
          <w:iCs/>
          <w:sz w:val="28"/>
          <w:szCs w:val="28"/>
        </w:rPr>
        <w:t xml:space="preserve">Calculation </w:t>
      </w:r>
      <w:r w:rsidR="00974076">
        <w:rPr>
          <w:b/>
          <w:iCs/>
          <w:sz w:val="28"/>
          <w:szCs w:val="28"/>
        </w:rPr>
        <w:t>m</w:t>
      </w:r>
      <w:r w:rsidR="00974076" w:rsidRPr="0064699F">
        <w:rPr>
          <w:b/>
          <w:iCs/>
          <w:sz w:val="28"/>
          <w:szCs w:val="28"/>
        </w:rPr>
        <w:t>ethods</w:t>
      </w:r>
      <w:r w:rsidR="00974076">
        <w:rPr>
          <w:b/>
          <w:iCs/>
          <w:sz w:val="28"/>
          <w:szCs w:val="28"/>
        </w:rPr>
        <w:t xml:space="preserve"> of BCPI</w:t>
      </w:r>
      <w:r w:rsidRPr="0064699F">
        <w:rPr>
          <w:b/>
          <w:iCs/>
          <w:sz w:val="28"/>
          <w:szCs w:val="28"/>
        </w:rPr>
        <w:t xml:space="preserve"> </w:t>
      </w:r>
    </w:p>
    <w:p w:rsidR="00D2095D" w:rsidRPr="0064699F" w:rsidRDefault="00D2095D" w:rsidP="00D2095D">
      <w:pPr>
        <w:pStyle w:val="af2"/>
        <w:tabs>
          <w:tab w:val="left" w:pos="0"/>
        </w:tabs>
        <w:rPr>
          <w:rFonts w:ascii="Times New Roman" w:hAnsi="Times New Roman"/>
          <w:sz w:val="28"/>
          <w:szCs w:val="28"/>
        </w:rPr>
      </w:pPr>
    </w:p>
    <w:p w:rsidR="00D2095D" w:rsidRPr="0064699F" w:rsidRDefault="00D2095D" w:rsidP="00D2095D">
      <w:pPr>
        <w:pStyle w:val="Pa8"/>
        <w:spacing w:line="240" w:lineRule="auto"/>
        <w:ind w:firstLine="709"/>
        <w:jc w:val="both"/>
        <w:rPr>
          <w:sz w:val="28"/>
          <w:szCs w:val="28"/>
        </w:rPr>
      </w:pPr>
      <w:r w:rsidRPr="0064699F">
        <w:rPr>
          <w:sz w:val="28"/>
          <w:szCs w:val="28"/>
        </w:rPr>
        <w:t xml:space="preserve">9. Measurement of </w:t>
      </w:r>
      <w:r w:rsidR="00974076">
        <w:rPr>
          <w:sz w:val="28"/>
          <w:szCs w:val="28"/>
        </w:rPr>
        <w:t>BCPI</w:t>
      </w:r>
      <w:r w:rsidRPr="0064699F">
        <w:rPr>
          <w:sz w:val="28"/>
          <w:szCs w:val="28"/>
        </w:rPr>
        <w:t xml:space="preserve"> is carried out using various methods, modified in terms of coverage of components, their importance, calculation procedures. Common methods used in constructing </w:t>
      </w:r>
      <w:r w:rsidR="00974076">
        <w:rPr>
          <w:sz w:val="28"/>
          <w:szCs w:val="28"/>
        </w:rPr>
        <w:t>BCPI</w:t>
      </w:r>
      <w:r w:rsidRPr="0064699F">
        <w:rPr>
          <w:sz w:val="28"/>
          <w:szCs w:val="28"/>
        </w:rPr>
        <w:t xml:space="preserve"> are the simple elimination method and the trimmed average method according to the volatility of the components.</w:t>
      </w:r>
    </w:p>
    <w:p w:rsidR="00D2095D" w:rsidRPr="0064699F" w:rsidRDefault="00D2095D" w:rsidP="00D2095D">
      <w:pPr>
        <w:widowControl w:val="0"/>
        <w:autoSpaceDE w:val="0"/>
        <w:autoSpaceDN w:val="0"/>
        <w:adjustRightInd w:val="0"/>
        <w:ind w:firstLine="709"/>
        <w:jc w:val="both"/>
        <w:rPr>
          <w:snapToGrid w:val="0"/>
          <w:sz w:val="28"/>
          <w:szCs w:val="28"/>
        </w:rPr>
      </w:pPr>
      <w:r w:rsidRPr="0064699F">
        <w:rPr>
          <w:snapToGrid w:val="0"/>
          <w:sz w:val="28"/>
          <w:szCs w:val="28"/>
        </w:rPr>
        <w:t xml:space="preserve">10. With the simple elimination method, components that exhibit increased volatility, </w:t>
      </w:r>
      <w:r w:rsidRPr="0064699F">
        <w:rPr>
          <w:sz w:val="28"/>
          <w:szCs w:val="28"/>
        </w:rPr>
        <w:t xml:space="preserve">instability, instability, a high degree of volatility in market conditions, demand, and prices are periodically excluded from CPI </w:t>
      </w:r>
      <w:r w:rsidRPr="0064699F">
        <w:rPr>
          <w:snapToGrid w:val="0"/>
          <w:sz w:val="28"/>
          <w:szCs w:val="28"/>
        </w:rPr>
        <w:t xml:space="preserve">. </w:t>
      </w:r>
      <w:r w:rsidRPr="0064699F">
        <w:rPr>
          <w:sz w:val="28"/>
          <w:szCs w:val="28"/>
        </w:rPr>
        <w:t xml:space="preserve">Sharp fluctuations in prices for volatile components are caused by the influence of foreign trade conditions, seasonal and random factors, and distort the main long-term price trend when building CPI. This </w:t>
      </w:r>
      <w:r w:rsidRPr="0064699F">
        <w:rPr>
          <w:snapToGrid w:val="0"/>
          <w:sz w:val="28"/>
          <w:szCs w:val="28"/>
        </w:rPr>
        <w:t xml:space="preserve">method of measuring </w:t>
      </w:r>
      <w:r w:rsidR="00974076">
        <w:rPr>
          <w:snapToGrid w:val="0"/>
          <w:sz w:val="28"/>
          <w:szCs w:val="28"/>
        </w:rPr>
        <w:t>BCPI</w:t>
      </w:r>
      <w:r w:rsidRPr="0064699F">
        <w:rPr>
          <w:snapToGrid w:val="0"/>
          <w:sz w:val="28"/>
          <w:szCs w:val="28"/>
        </w:rPr>
        <w:t xml:space="preserve"> provides an abstraction from the influence of factors, using volatility as a criterion for excluding components.</w:t>
      </w:r>
    </w:p>
    <w:p w:rsidR="00D2095D" w:rsidRPr="0064699F" w:rsidRDefault="00D2095D" w:rsidP="00D2095D">
      <w:pPr>
        <w:pStyle w:val="a7"/>
        <w:spacing w:after="0"/>
        <w:ind w:left="0" w:firstLine="709"/>
        <w:jc w:val="both"/>
        <w:rPr>
          <w:snapToGrid w:val="0"/>
          <w:sz w:val="28"/>
          <w:szCs w:val="28"/>
        </w:rPr>
      </w:pPr>
      <w:r w:rsidRPr="0064699F">
        <w:rPr>
          <w:sz w:val="28"/>
          <w:szCs w:val="28"/>
        </w:rPr>
        <w:t xml:space="preserve">Volatile components are periodically not included in the process of forming the </w:t>
      </w:r>
      <w:r w:rsidR="00974076">
        <w:rPr>
          <w:sz w:val="28"/>
          <w:szCs w:val="28"/>
        </w:rPr>
        <w:t>BCPI</w:t>
      </w:r>
      <w:r w:rsidRPr="0064699F">
        <w:rPr>
          <w:sz w:val="28"/>
          <w:szCs w:val="28"/>
        </w:rPr>
        <w:t xml:space="preserve"> indicator. </w:t>
      </w:r>
      <w:r w:rsidRPr="0064699F">
        <w:rPr>
          <w:snapToGrid w:val="0"/>
          <w:sz w:val="28"/>
          <w:szCs w:val="28"/>
        </w:rPr>
        <w:t>As a result, the movement of prices for individual goods (services) is redistributed to obtain a stable change. The CPI is recalculated minus the corresponding elemental indices, which does not require its further adjustment and additional calculations at the aggregate level.</w:t>
      </w:r>
    </w:p>
    <w:p w:rsidR="00D2095D" w:rsidRPr="0064699F" w:rsidRDefault="00D2095D" w:rsidP="00D2095D">
      <w:pPr>
        <w:pStyle w:val="a7"/>
        <w:spacing w:after="0"/>
        <w:ind w:left="0" w:firstLine="709"/>
        <w:jc w:val="both"/>
        <w:rPr>
          <w:sz w:val="28"/>
          <w:szCs w:val="28"/>
        </w:rPr>
      </w:pPr>
      <w:r w:rsidRPr="0064699F">
        <w:rPr>
          <w:snapToGrid w:val="0"/>
          <w:sz w:val="28"/>
          <w:szCs w:val="28"/>
        </w:rPr>
        <w:t xml:space="preserve">When applying this method of measuring </w:t>
      </w:r>
      <w:r w:rsidR="00974076">
        <w:rPr>
          <w:sz w:val="28"/>
          <w:szCs w:val="28"/>
        </w:rPr>
        <w:t>BCPI</w:t>
      </w:r>
      <w:r w:rsidR="004E7135">
        <w:rPr>
          <w:sz w:val="28"/>
          <w:szCs w:val="28"/>
        </w:rPr>
        <w:t>, the weight components used in the construction of CPI are recalculated. The excluded volatile components are weighted to zero, the remaining components are weighted higher after the normalization procedure is applied.</w:t>
      </w:r>
    </w:p>
    <w:p w:rsidR="00D2095D" w:rsidRPr="0064699F" w:rsidRDefault="00D2095D" w:rsidP="00D2095D">
      <w:pPr>
        <w:pStyle w:val="af2"/>
        <w:rPr>
          <w:rFonts w:ascii="Times New Roman" w:hAnsi="Times New Roman"/>
          <w:sz w:val="28"/>
          <w:szCs w:val="28"/>
        </w:rPr>
      </w:pPr>
      <w:r w:rsidRPr="0064699F">
        <w:rPr>
          <w:rFonts w:ascii="Times New Roman" w:hAnsi="Times New Roman"/>
          <w:sz w:val="28"/>
          <w:szCs w:val="28"/>
        </w:rPr>
        <w:t xml:space="preserve">11. Calculation of </w:t>
      </w:r>
      <w:r w:rsidR="00974076">
        <w:rPr>
          <w:rFonts w:ascii="Times New Roman" w:hAnsi="Times New Roman"/>
          <w:sz w:val="28"/>
          <w:szCs w:val="28"/>
        </w:rPr>
        <w:t>BCPI</w:t>
      </w:r>
      <w:r w:rsidRPr="0064699F">
        <w:rPr>
          <w:rFonts w:ascii="Times New Roman" w:hAnsi="Times New Roman"/>
          <w:sz w:val="28"/>
          <w:szCs w:val="28"/>
        </w:rPr>
        <w:t xml:space="preserve"> without taking into account price changes for individual specific components is carried out:</w:t>
      </w:r>
    </w:p>
    <w:p w:rsidR="00D2095D" w:rsidRPr="0064699F" w:rsidRDefault="00D2095D" w:rsidP="00D2095D">
      <w:pPr>
        <w:numPr>
          <w:ilvl w:val="0"/>
          <w:numId w:val="4"/>
        </w:numPr>
        <w:tabs>
          <w:tab w:val="left" w:pos="1134"/>
        </w:tabs>
        <w:ind w:left="0" w:firstLine="709"/>
        <w:jc w:val="both"/>
        <w:rPr>
          <w:sz w:val="28"/>
          <w:szCs w:val="28"/>
        </w:rPr>
      </w:pPr>
      <w:r w:rsidRPr="0064699F">
        <w:rPr>
          <w:sz w:val="28"/>
          <w:szCs w:val="28"/>
        </w:rPr>
        <w:t>without one component (fruits and vegetables);</w:t>
      </w:r>
    </w:p>
    <w:p w:rsidR="00D2095D" w:rsidRPr="0064699F" w:rsidRDefault="00D2095D" w:rsidP="00D2095D">
      <w:pPr>
        <w:numPr>
          <w:ilvl w:val="0"/>
          <w:numId w:val="4"/>
        </w:numPr>
        <w:tabs>
          <w:tab w:val="left" w:pos="1134"/>
        </w:tabs>
        <w:ind w:left="0" w:firstLine="709"/>
        <w:jc w:val="both"/>
        <w:rPr>
          <w:sz w:val="28"/>
          <w:szCs w:val="28"/>
        </w:rPr>
      </w:pPr>
      <w:r w:rsidRPr="0064699F">
        <w:rPr>
          <w:sz w:val="28"/>
          <w:szCs w:val="28"/>
        </w:rPr>
        <w:t>without three components (fresh fruits and vegetables, gasoline, coal);</w:t>
      </w:r>
    </w:p>
    <w:p w:rsidR="00D2095D" w:rsidRPr="0064699F" w:rsidRDefault="00D2095D" w:rsidP="00D2095D">
      <w:pPr>
        <w:numPr>
          <w:ilvl w:val="0"/>
          <w:numId w:val="4"/>
        </w:numPr>
        <w:tabs>
          <w:tab w:val="clear" w:pos="720"/>
          <w:tab w:val="num" w:pos="0"/>
          <w:tab w:val="left" w:pos="1134"/>
        </w:tabs>
        <w:ind w:left="0" w:firstLine="709"/>
        <w:jc w:val="both"/>
        <w:rPr>
          <w:sz w:val="28"/>
          <w:szCs w:val="28"/>
        </w:rPr>
      </w:pPr>
      <w:r w:rsidRPr="0064699F">
        <w:rPr>
          <w:sz w:val="28"/>
          <w:szCs w:val="28"/>
        </w:rPr>
        <w:t>without seven components (diesel fuel and services of housing and communal services, railway transport and communications).</w:t>
      </w:r>
    </w:p>
    <w:p w:rsidR="00D2095D" w:rsidRPr="0064699F" w:rsidRDefault="00D2095D" w:rsidP="00D2095D">
      <w:pPr>
        <w:tabs>
          <w:tab w:val="left" w:pos="1134"/>
        </w:tabs>
        <w:ind w:firstLine="709"/>
        <w:jc w:val="both"/>
        <w:rPr>
          <w:sz w:val="28"/>
          <w:szCs w:val="28"/>
          <w:lang w:bidi="he-IL"/>
        </w:rPr>
      </w:pPr>
      <w:r w:rsidRPr="0064699F">
        <w:rPr>
          <w:sz w:val="28"/>
          <w:szCs w:val="28"/>
        </w:rPr>
        <w:t xml:space="preserve">The exclusion of fresh vegetables and fruits is associated with a seasonal factor that manifests itself cyclically throughout the year and over a number of years </w:t>
      </w:r>
      <w:r w:rsidRPr="0064699F">
        <w:rPr>
          <w:spacing w:val="-4"/>
          <w:sz w:val="28"/>
          <w:szCs w:val="28"/>
        </w:rPr>
        <w:t xml:space="preserve">. Gasoline, diesel and coal prices </w:t>
      </w:r>
      <w:r w:rsidRPr="0064699F">
        <w:rPr>
          <w:sz w:val="28"/>
          <w:szCs w:val="28"/>
        </w:rPr>
        <w:t xml:space="preserve">are subject to market </w:t>
      </w:r>
      <w:r w:rsidRPr="0064699F">
        <w:rPr>
          <w:spacing w:val="-1"/>
          <w:sz w:val="28"/>
          <w:szCs w:val="28"/>
        </w:rPr>
        <w:t xml:space="preserve">and seasonal </w:t>
      </w:r>
      <w:r w:rsidRPr="0064699F">
        <w:rPr>
          <w:sz w:val="28"/>
          <w:szCs w:val="28"/>
        </w:rPr>
        <w:t xml:space="preserve">fluctuations </w:t>
      </w:r>
      <w:r w:rsidRPr="0064699F">
        <w:rPr>
          <w:spacing w:val="-4"/>
          <w:sz w:val="28"/>
          <w:szCs w:val="28"/>
        </w:rPr>
        <w:t>.</w:t>
      </w:r>
    </w:p>
    <w:p w:rsidR="00D2095D" w:rsidRPr="0064699F" w:rsidRDefault="00D2095D" w:rsidP="00D2095D">
      <w:pPr>
        <w:tabs>
          <w:tab w:val="left" w:pos="993"/>
          <w:tab w:val="left" w:pos="1134"/>
        </w:tabs>
        <w:ind w:firstLine="709"/>
        <w:jc w:val="both"/>
        <w:rPr>
          <w:sz w:val="28"/>
          <w:szCs w:val="28"/>
        </w:rPr>
      </w:pPr>
      <w:r w:rsidRPr="0064699F">
        <w:rPr>
          <w:sz w:val="28"/>
          <w:szCs w:val="28"/>
        </w:rPr>
        <w:t xml:space="preserve">The exclusion of changes in prices and tariffs for housing and communal services, railway passenger transport and communications is explained by their social orientation. These services occupy a significant weight in the </w:t>
      </w:r>
      <w:r w:rsidR="004E7135">
        <w:rPr>
          <w:sz w:val="28"/>
          <w:szCs w:val="28"/>
        </w:rPr>
        <w:t>CPI structure, the price movement trend is not associated with monetary policy instruments, since they do not change constantly, in stages.</w:t>
      </w:r>
    </w:p>
    <w:p w:rsidR="00D2095D" w:rsidRPr="0064699F" w:rsidRDefault="00D2095D" w:rsidP="00D2095D">
      <w:pPr>
        <w:ind w:firstLine="709"/>
        <w:jc w:val="both"/>
        <w:rPr>
          <w:sz w:val="28"/>
          <w:szCs w:val="28"/>
        </w:rPr>
      </w:pPr>
      <w:r w:rsidRPr="0064699F">
        <w:rPr>
          <w:sz w:val="28"/>
          <w:szCs w:val="28"/>
        </w:rPr>
        <w:t xml:space="preserve">The list of goods and services for calculating </w:t>
      </w:r>
      <w:r w:rsidR="00974076">
        <w:rPr>
          <w:sz w:val="28"/>
          <w:szCs w:val="28"/>
        </w:rPr>
        <w:t>BCPI</w:t>
      </w:r>
      <w:r w:rsidRPr="0064699F">
        <w:rPr>
          <w:sz w:val="28"/>
          <w:szCs w:val="28"/>
        </w:rPr>
        <w:t xml:space="preserve"> without taking into account price changes for individual specific components is given in Appendix 1 to this Methodology.</w:t>
      </w:r>
    </w:p>
    <w:p w:rsidR="00D2095D" w:rsidRPr="0064699F" w:rsidRDefault="00D2095D" w:rsidP="00D2095D">
      <w:pPr>
        <w:tabs>
          <w:tab w:val="left" w:pos="993"/>
          <w:tab w:val="left" w:pos="1134"/>
        </w:tabs>
        <w:spacing w:after="120"/>
        <w:ind w:firstLine="709"/>
        <w:jc w:val="both"/>
        <w:rPr>
          <w:sz w:val="28"/>
          <w:szCs w:val="28"/>
          <w:lang w:bidi="he-IL"/>
        </w:rPr>
      </w:pPr>
      <w:r w:rsidRPr="0064699F">
        <w:rPr>
          <w:sz w:val="28"/>
          <w:szCs w:val="28"/>
        </w:rPr>
        <w:t xml:space="preserve">When forming </w:t>
      </w:r>
      <w:r w:rsidR="00974076">
        <w:rPr>
          <w:sz w:val="28"/>
          <w:szCs w:val="28"/>
        </w:rPr>
        <w:t>BCPI</w:t>
      </w:r>
      <w:r w:rsidRPr="0064699F">
        <w:rPr>
          <w:sz w:val="28"/>
          <w:szCs w:val="28"/>
        </w:rPr>
        <w:t xml:space="preserve"> by eliminating one, three and seven components, the following calculation formula is used:</w:t>
      </w:r>
    </w:p>
    <w:p w:rsidR="00D2095D" w:rsidRPr="0064699F" w:rsidRDefault="00D2095D" w:rsidP="00D2095D">
      <w:pPr>
        <w:pStyle w:val="11"/>
        <w:tabs>
          <w:tab w:val="right" w:pos="9639"/>
        </w:tabs>
        <w:ind w:left="2268"/>
        <w:jc w:val="center"/>
        <w:rPr>
          <w:i/>
          <w:szCs w:val="28"/>
        </w:rPr>
      </w:pPr>
      <w:r w:rsidRPr="0064699F">
        <w:rPr>
          <w:position w:val="-32"/>
          <w:szCs w:val="28"/>
        </w:rPr>
        <w:object w:dxaOrig="6880" w:dyaOrig="859">
          <v:shape id="_x0000_i1042" type="#_x0000_t75" style="width:268pt;height:27.5pt" o:ole="" fillcolor="window">
            <v:imagedata r:id="rId37" o:title=""/>
          </v:shape>
          <o:OLEObject Type="Embed" ProgID="Equation.3" ShapeID="_x0000_i1042" DrawAspect="Content" ObjectID="_1745396349" r:id="rId38"/>
        </w:object>
      </w:r>
      <w:r w:rsidRPr="0064699F">
        <w:rPr>
          <w:szCs w:val="28"/>
        </w:rPr>
        <w:t xml:space="preserve">, </w:t>
      </w:r>
      <w:r w:rsidRPr="0064699F">
        <w:rPr>
          <w:szCs w:val="28"/>
        </w:rPr>
        <w:tab/>
        <w:t>(4)</w:t>
      </w:r>
    </w:p>
    <w:p w:rsidR="00D2095D" w:rsidRPr="0064699F" w:rsidRDefault="004E7135" w:rsidP="00D2095D">
      <w:pPr>
        <w:spacing w:before="120"/>
        <w:ind w:firstLine="709"/>
        <w:rPr>
          <w:sz w:val="28"/>
          <w:szCs w:val="28"/>
        </w:rPr>
      </w:pPr>
      <w:r>
        <w:rPr>
          <w:sz w:val="28"/>
          <w:szCs w:val="28"/>
        </w:rPr>
        <w:lastRenderedPageBreak/>
        <w:t>where:</w:t>
      </w:r>
    </w:p>
    <w:p w:rsidR="00D2095D" w:rsidRPr="0064699F" w:rsidRDefault="00D2095D" w:rsidP="00D2095D">
      <w:pPr>
        <w:ind w:firstLine="709"/>
        <w:jc w:val="both"/>
        <w:rPr>
          <w:sz w:val="28"/>
          <w:szCs w:val="28"/>
        </w:rPr>
      </w:pPr>
      <w:r w:rsidRPr="0064699F">
        <w:rPr>
          <w:snapToGrid w:val="0"/>
          <w:position w:val="-6"/>
          <w:sz w:val="28"/>
          <w:szCs w:val="28"/>
        </w:rPr>
        <w:object w:dxaOrig="400" w:dyaOrig="320">
          <v:shape id="_x0000_i1043" type="#_x0000_t75" style="width:16pt;height:13pt" o:ole="" fillcolor="window">
            <v:imagedata r:id="rId39" o:title=""/>
          </v:shape>
          <o:OLEObject Type="Embed" ProgID="Equation.3" ShapeID="_x0000_i1043" DrawAspect="Content" ObjectID="_1745396350" r:id="rId40"/>
        </w:object>
      </w:r>
      <w:r w:rsidRPr="0064699F">
        <w:rPr>
          <w:sz w:val="28"/>
          <w:szCs w:val="28"/>
        </w:rPr>
        <w:t xml:space="preserve">– </w:t>
      </w:r>
      <w:r w:rsidR="00974076">
        <w:rPr>
          <w:sz w:val="28"/>
          <w:szCs w:val="28"/>
        </w:rPr>
        <w:t>BCPI</w:t>
      </w:r>
      <w:r w:rsidRPr="0064699F">
        <w:rPr>
          <w:sz w:val="28"/>
          <w:szCs w:val="28"/>
        </w:rPr>
        <w:t>;</w:t>
      </w:r>
    </w:p>
    <w:p w:rsidR="00D2095D" w:rsidRPr="0064699F" w:rsidRDefault="00D2095D" w:rsidP="00D2095D">
      <w:pPr>
        <w:ind w:firstLine="709"/>
        <w:jc w:val="both"/>
        <w:rPr>
          <w:sz w:val="28"/>
          <w:szCs w:val="28"/>
        </w:rPr>
      </w:pPr>
      <w:r w:rsidRPr="0064699F">
        <w:rPr>
          <w:snapToGrid w:val="0"/>
          <w:position w:val="-16"/>
          <w:sz w:val="28"/>
          <w:szCs w:val="28"/>
        </w:rPr>
        <w:object w:dxaOrig="660" w:dyaOrig="440">
          <v:shape id="_x0000_i1044" type="#_x0000_t75" style="width:26.5pt;height:17.5pt" o:ole="" fillcolor="window">
            <v:imagedata r:id="rId41" o:title=""/>
          </v:shape>
          <o:OLEObject Type="Embed" ProgID="Equation.3" ShapeID="_x0000_i1044" DrawAspect="Content" ObjectID="_1745396351" r:id="rId42"/>
        </w:object>
      </w:r>
      <w:r w:rsidRPr="0064699F">
        <w:rPr>
          <w:sz w:val="28"/>
          <w:szCs w:val="28"/>
        </w:rPr>
        <w:t>– actual value of CPI;</w:t>
      </w:r>
    </w:p>
    <w:p w:rsidR="00D2095D" w:rsidRPr="0064699F" w:rsidRDefault="00D2095D" w:rsidP="00D2095D">
      <w:pPr>
        <w:ind w:firstLine="709"/>
        <w:jc w:val="both"/>
        <w:rPr>
          <w:sz w:val="28"/>
          <w:szCs w:val="28"/>
        </w:rPr>
      </w:pPr>
      <w:r w:rsidRPr="0064699F">
        <w:rPr>
          <w:snapToGrid w:val="0"/>
          <w:position w:val="-12"/>
          <w:sz w:val="28"/>
          <w:szCs w:val="28"/>
        </w:rPr>
        <w:object w:dxaOrig="1380" w:dyaOrig="380">
          <v:shape id="_x0000_i1045" type="#_x0000_t75" style="width:63.5pt;height:14.5pt" o:ole="" fillcolor="window">
            <v:imagedata r:id="rId43" o:title=""/>
          </v:shape>
          <o:OLEObject Type="Embed" ProgID="Equation.3" ShapeID="_x0000_i1045" DrawAspect="Content" ObjectID="_1745396352" r:id="rId44"/>
        </w:object>
      </w:r>
      <w:r w:rsidRPr="0064699F">
        <w:rPr>
          <w:sz w:val="28"/>
          <w:szCs w:val="28"/>
        </w:rPr>
        <w:t xml:space="preserve">- change in prices for goods (services) determined for exclusion </w:t>
      </w:r>
      <w:r w:rsidRPr="0064699F">
        <w:rPr>
          <w:snapToGrid w:val="0"/>
          <w:position w:val="-12"/>
          <w:sz w:val="28"/>
          <w:szCs w:val="28"/>
        </w:rPr>
        <w:object w:dxaOrig="780" w:dyaOrig="380">
          <v:shape id="_x0000_i1046" type="#_x0000_t75" style="width:34.5pt;height:14.5pt" o:ole="" fillcolor="window">
            <v:imagedata r:id="rId45" o:title=""/>
          </v:shape>
          <o:OLEObject Type="Embed" ProgID="Equation.3" ShapeID="_x0000_i1046" DrawAspect="Content" ObjectID="_1745396353" r:id="rId46"/>
        </w:object>
      </w:r>
      <w:r w:rsidRPr="0064699F">
        <w:rPr>
          <w:sz w:val="28"/>
          <w:szCs w:val="28"/>
        </w:rPr>
        <w:t>;</w:t>
      </w:r>
    </w:p>
    <w:p w:rsidR="00D2095D" w:rsidRPr="0064699F" w:rsidRDefault="00D2095D" w:rsidP="00D2095D">
      <w:pPr>
        <w:ind w:firstLine="709"/>
        <w:jc w:val="both"/>
        <w:rPr>
          <w:sz w:val="28"/>
          <w:szCs w:val="28"/>
        </w:rPr>
      </w:pPr>
      <w:r w:rsidRPr="0064699F">
        <w:rPr>
          <w:snapToGrid w:val="0"/>
          <w:position w:val="-12"/>
          <w:sz w:val="28"/>
          <w:szCs w:val="28"/>
        </w:rPr>
        <w:object w:dxaOrig="1420" w:dyaOrig="380">
          <v:shape id="_x0000_i1047" type="#_x0000_t75" style="width:54pt;height:14pt" o:ole="" fillcolor="window">
            <v:imagedata r:id="rId47" o:title=""/>
          </v:shape>
          <o:OLEObject Type="Embed" ProgID="Equation.3" ShapeID="_x0000_i1047" DrawAspect="Content" ObjectID="_1745396354" r:id="rId48"/>
        </w:object>
      </w:r>
      <w:r w:rsidRPr="0064699F">
        <w:rPr>
          <w:sz w:val="28"/>
          <w:szCs w:val="28"/>
        </w:rPr>
        <w:t>- the share of relevant goods (services) in the CPI structure.</w:t>
      </w:r>
    </w:p>
    <w:p w:rsidR="00D2095D" w:rsidRPr="0064699F" w:rsidRDefault="00D2095D" w:rsidP="00D2095D">
      <w:pPr>
        <w:tabs>
          <w:tab w:val="left" w:pos="1418"/>
        </w:tabs>
        <w:ind w:firstLine="709"/>
        <w:jc w:val="both"/>
        <w:rPr>
          <w:sz w:val="28"/>
          <w:szCs w:val="28"/>
        </w:rPr>
      </w:pPr>
      <w:r w:rsidRPr="0064699F">
        <w:rPr>
          <w:sz w:val="28"/>
          <w:szCs w:val="28"/>
        </w:rPr>
        <w:t>The advantage of using this method is to ensure the comparability of the time series of indicators, the availability of understanding by the public. The resulting indicators are considered sub-indices of the CPI, and their construction ensures compliance with all existing standards and requirements for the formation of the CPI.</w:t>
      </w:r>
    </w:p>
    <w:p w:rsidR="00D2095D" w:rsidRPr="0064699F" w:rsidRDefault="00D2095D" w:rsidP="00D2095D">
      <w:pPr>
        <w:pStyle w:val="af2"/>
        <w:rPr>
          <w:rFonts w:ascii="Times New Roman" w:hAnsi="Times New Roman"/>
          <w:noProof w:val="0"/>
          <w:sz w:val="28"/>
          <w:szCs w:val="28"/>
        </w:rPr>
      </w:pPr>
      <w:r w:rsidRPr="0064699F">
        <w:rPr>
          <w:rFonts w:ascii="Times New Roman" w:hAnsi="Times New Roman"/>
          <w:noProof w:val="0"/>
          <w:sz w:val="28"/>
          <w:szCs w:val="28"/>
        </w:rPr>
        <w:t xml:space="preserve">12. Of the above methods for calculating </w:t>
      </w:r>
      <w:r w:rsidR="00974076">
        <w:rPr>
          <w:rFonts w:ascii="Times New Roman" w:hAnsi="Times New Roman"/>
          <w:noProof w:val="0"/>
          <w:sz w:val="28"/>
          <w:szCs w:val="28"/>
        </w:rPr>
        <w:t>BCPI</w:t>
      </w:r>
      <w:r w:rsidRPr="0064699F">
        <w:rPr>
          <w:rFonts w:ascii="Times New Roman" w:hAnsi="Times New Roman"/>
          <w:noProof w:val="0"/>
          <w:sz w:val="28"/>
          <w:szCs w:val="28"/>
        </w:rPr>
        <w:t xml:space="preserve">, the method of simply excluding three components from CPI (fresh fruits and vegetables, gasoline, coal) was chosen as the main one. The remaining </w:t>
      </w:r>
      <w:r w:rsidR="00974076">
        <w:rPr>
          <w:rFonts w:ascii="Times New Roman" w:hAnsi="Times New Roman"/>
          <w:noProof w:val="0"/>
          <w:sz w:val="28"/>
          <w:szCs w:val="28"/>
        </w:rPr>
        <w:t>BCPI</w:t>
      </w:r>
      <w:r w:rsidRPr="0064699F">
        <w:rPr>
          <w:rFonts w:ascii="Times New Roman" w:hAnsi="Times New Roman"/>
          <w:noProof w:val="0"/>
          <w:sz w:val="28"/>
          <w:szCs w:val="28"/>
        </w:rPr>
        <w:t xml:space="preserve"> calculation methods are used for analytical and forecasting purposes. The application of the considered methods, implemented in a complex, form an effective system of indicators reflecting the monetary "behavior" of inflation.</w:t>
      </w:r>
    </w:p>
    <w:p w:rsidR="00D2095D" w:rsidRPr="0064699F" w:rsidRDefault="00D2095D" w:rsidP="00D2095D">
      <w:pPr>
        <w:tabs>
          <w:tab w:val="left" w:pos="4500"/>
        </w:tabs>
        <w:rPr>
          <w:b/>
          <w:sz w:val="28"/>
          <w:szCs w:val="28"/>
        </w:rPr>
      </w:pPr>
    </w:p>
    <w:p w:rsidR="00D2095D" w:rsidRPr="0064699F" w:rsidRDefault="00D2095D" w:rsidP="00D2095D">
      <w:pPr>
        <w:ind w:firstLine="709"/>
        <w:rPr>
          <w:sz w:val="28"/>
          <w:szCs w:val="28"/>
        </w:rPr>
      </w:pPr>
    </w:p>
    <w:p w:rsidR="00D2095D" w:rsidRPr="0064699F" w:rsidRDefault="00D2095D" w:rsidP="00D2095D">
      <w:pPr>
        <w:jc w:val="center"/>
        <w:rPr>
          <w:b/>
          <w:sz w:val="28"/>
          <w:szCs w:val="28"/>
        </w:rPr>
      </w:pPr>
      <w:r w:rsidRPr="0064699F">
        <w:rPr>
          <w:b/>
          <w:sz w:val="28"/>
          <w:szCs w:val="28"/>
        </w:rPr>
        <w:t xml:space="preserve">Chapter 4. Calculation of </w:t>
      </w:r>
      <w:r w:rsidR="00974076">
        <w:rPr>
          <w:b/>
          <w:sz w:val="28"/>
          <w:szCs w:val="28"/>
        </w:rPr>
        <w:t>BCPI</w:t>
      </w:r>
      <w:r w:rsidRPr="0064699F">
        <w:rPr>
          <w:b/>
          <w:sz w:val="28"/>
          <w:szCs w:val="28"/>
        </w:rPr>
        <w:t xml:space="preserve"> without taking into account changes in prices for individual components</w:t>
      </w:r>
    </w:p>
    <w:p w:rsidR="00D2095D" w:rsidRPr="0064699F" w:rsidRDefault="00D2095D" w:rsidP="00D2095D">
      <w:pPr>
        <w:jc w:val="center"/>
        <w:rPr>
          <w:sz w:val="28"/>
          <w:szCs w:val="28"/>
        </w:rPr>
      </w:pPr>
    </w:p>
    <w:p w:rsidR="00D2095D" w:rsidRPr="0064699F" w:rsidRDefault="00D2095D" w:rsidP="00D2095D">
      <w:pPr>
        <w:ind w:firstLine="709"/>
        <w:jc w:val="both"/>
        <w:rPr>
          <w:sz w:val="28"/>
          <w:szCs w:val="28"/>
        </w:rPr>
      </w:pPr>
      <w:r>
        <w:rPr>
          <w:sz w:val="28"/>
          <w:szCs w:val="28"/>
        </w:rPr>
        <w:t xml:space="preserve">13. Calculation of </w:t>
      </w:r>
      <w:r w:rsidR="00974076">
        <w:rPr>
          <w:sz w:val="28"/>
          <w:szCs w:val="28"/>
        </w:rPr>
        <w:t>BCPI</w:t>
      </w:r>
      <w:r>
        <w:rPr>
          <w:sz w:val="28"/>
          <w:szCs w:val="28"/>
        </w:rPr>
        <w:t xml:space="preserve"> without taking into account changes in prices for individual components is carried out in the following order:</w:t>
      </w:r>
    </w:p>
    <w:p w:rsidR="00D2095D" w:rsidRPr="0064699F" w:rsidRDefault="00D2095D" w:rsidP="00D2095D">
      <w:pPr>
        <w:numPr>
          <w:ilvl w:val="0"/>
          <w:numId w:val="9"/>
        </w:numPr>
        <w:tabs>
          <w:tab w:val="left" w:pos="1134"/>
        </w:tabs>
        <w:ind w:left="0" w:firstLine="709"/>
        <w:jc w:val="both"/>
        <w:rPr>
          <w:sz w:val="28"/>
          <w:szCs w:val="28"/>
        </w:rPr>
      </w:pPr>
      <w:r w:rsidRPr="0064699F">
        <w:rPr>
          <w:sz w:val="28"/>
          <w:szCs w:val="28"/>
        </w:rPr>
        <w:t xml:space="preserve">after determining the price change within the framework of the CPI calculation, a certain type of </w:t>
      </w:r>
      <w:r w:rsidRPr="0064699F">
        <w:rPr>
          <w:spacing w:val="-4"/>
          <w:sz w:val="28"/>
          <w:szCs w:val="28"/>
        </w:rPr>
        <w:t xml:space="preserve">goods and services </w:t>
      </w:r>
      <w:r w:rsidRPr="0064699F">
        <w:rPr>
          <w:sz w:val="28"/>
          <w:szCs w:val="28"/>
        </w:rPr>
        <w:t>(one, three and seven components of the CPI) is excluded, their share and price change are conventionally assumed to be equal to zero;</w:t>
      </w:r>
    </w:p>
    <w:p w:rsidR="00D2095D" w:rsidRPr="0064699F" w:rsidRDefault="00D2095D" w:rsidP="00D2095D">
      <w:pPr>
        <w:numPr>
          <w:ilvl w:val="0"/>
          <w:numId w:val="9"/>
        </w:numPr>
        <w:tabs>
          <w:tab w:val="left" w:pos="1134"/>
        </w:tabs>
        <w:spacing w:after="120"/>
        <w:ind w:left="0" w:firstLine="709"/>
        <w:jc w:val="both"/>
        <w:rPr>
          <w:sz w:val="28"/>
          <w:szCs w:val="28"/>
        </w:rPr>
      </w:pPr>
      <w:r w:rsidRPr="0064699F">
        <w:rPr>
          <w:sz w:val="28"/>
          <w:szCs w:val="28"/>
        </w:rPr>
        <w:t>then the basic change in prices is determined without taking into account the change in prices for excluded items according to the formula:</w:t>
      </w:r>
    </w:p>
    <w:p w:rsidR="00D2095D" w:rsidRPr="0064699F" w:rsidRDefault="00D2095D" w:rsidP="00D2095D">
      <w:pPr>
        <w:pStyle w:val="3"/>
        <w:tabs>
          <w:tab w:val="right" w:pos="9639"/>
        </w:tabs>
        <w:spacing w:before="0"/>
        <w:ind w:left="1701" w:right="-2" w:firstLine="0"/>
        <w:rPr>
          <w:sz w:val="28"/>
          <w:szCs w:val="28"/>
        </w:rPr>
      </w:pPr>
      <w:r w:rsidRPr="0064699F">
        <w:rPr>
          <w:snapToGrid w:val="0"/>
          <w:position w:val="-40"/>
          <w:sz w:val="28"/>
          <w:szCs w:val="28"/>
        </w:rPr>
        <w:object w:dxaOrig="6660" w:dyaOrig="999">
          <v:shape id="_x0000_i1048" type="#_x0000_t75" style="width:292pt;height:40pt" o:ole="" fillcolor="window">
            <v:imagedata r:id="rId49" o:title=""/>
          </v:shape>
          <o:OLEObject Type="Embed" ProgID="Equation.3" ShapeID="_x0000_i1048" DrawAspect="Content" ObjectID="_1745396355" r:id="rId50"/>
        </w:object>
      </w:r>
      <w:r w:rsidRPr="0064699F">
        <w:rPr>
          <w:sz w:val="28"/>
          <w:szCs w:val="28"/>
        </w:rPr>
        <w:t xml:space="preserve">, </w:t>
      </w:r>
      <w:r w:rsidRPr="0064699F">
        <w:rPr>
          <w:sz w:val="28"/>
          <w:szCs w:val="28"/>
        </w:rPr>
        <w:tab/>
        <w:t>(7)</w:t>
      </w:r>
    </w:p>
    <w:p w:rsidR="00D2095D" w:rsidRPr="0064699F" w:rsidRDefault="004E7135" w:rsidP="00D2095D">
      <w:pPr>
        <w:pStyle w:val="3"/>
        <w:rPr>
          <w:sz w:val="28"/>
          <w:szCs w:val="28"/>
        </w:rPr>
      </w:pPr>
      <w:r>
        <w:rPr>
          <w:sz w:val="28"/>
          <w:szCs w:val="28"/>
        </w:rPr>
        <w:t>where:</w:t>
      </w:r>
    </w:p>
    <w:p w:rsidR="00D2095D" w:rsidRPr="0064699F" w:rsidRDefault="00D2095D" w:rsidP="00D2095D">
      <w:pPr>
        <w:ind w:firstLine="709"/>
        <w:jc w:val="both"/>
        <w:rPr>
          <w:sz w:val="28"/>
          <w:szCs w:val="28"/>
        </w:rPr>
      </w:pPr>
      <w:r w:rsidRPr="0064699F">
        <w:rPr>
          <w:snapToGrid w:val="0"/>
          <w:position w:val="-6"/>
          <w:sz w:val="28"/>
          <w:szCs w:val="28"/>
        </w:rPr>
        <w:object w:dxaOrig="400" w:dyaOrig="320">
          <v:shape id="_x0000_i1049" type="#_x0000_t75" style="width:16pt;height:13pt" o:ole="" fillcolor="window">
            <v:imagedata r:id="rId39" o:title=""/>
          </v:shape>
          <o:OLEObject Type="Embed" ProgID="Equation.3" ShapeID="_x0000_i1049" DrawAspect="Content" ObjectID="_1745396356" r:id="rId51"/>
        </w:object>
      </w:r>
      <w:r w:rsidRPr="0064699F">
        <w:rPr>
          <w:sz w:val="28"/>
          <w:szCs w:val="28"/>
        </w:rPr>
        <w:t xml:space="preserve">– </w:t>
      </w:r>
      <w:r w:rsidR="00974076">
        <w:rPr>
          <w:sz w:val="28"/>
          <w:szCs w:val="28"/>
        </w:rPr>
        <w:t>BCPI</w:t>
      </w:r>
      <w:r w:rsidRPr="0064699F">
        <w:rPr>
          <w:sz w:val="28"/>
          <w:szCs w:val="28"/>
        </w:rPr>
        <w:t>;</w:t>
      </w:r>
    </w:p>
    <w:p w:rsidR="00D2095D" w:rsidRPr="0064699F" w:rsidRDefault="00D2095D" w:rsidP="00D2095D">
      <w:pPr>
        <w:pStyle w:val="3"/>
        <w:spacing w:before="0"/>
        <w:ind w:firstLine="709"/>
        <w:rPr>
          <w:sz w:val="28"/>
          <w:szCs w:val="28"/>
        </w:rPr>
      </w:pPr>
      <w:r w:rsidRPr="0064699F">
        <w:rPr>
          <w:snapToGrid w:val="0"/>
          <w:position w:val="-16"/>
          <w:sz w:val="28"/>
          <w:szCs w:val="28"/>
        </w:rPr>
        <w:object w:dxaOrig="680" w:dyaOrig="440">
          <v:shape id="_x0000_i1050" type="#_x0000_t75" style="width:27pt;height:17pt" o:ole="" fillcolor="window">
            <v:imagedata r:id="rId52" o:title=""/>
          </v:shape>
          <o:OLEObject Type="Embed" ProgID="Equation.3" ShapeID="_x0000_i1050" DrawAspect="Content" ObjectID="_1745396357" r:id="rId53"/>
        </w:object>
      </w:r>
      <w:r w:rsidRPr="0064699F">
        <w:rPr>
          <w:sz w:val="28"/>
          <w:szCs w:val="28"/>
        </w:rPr>
        <w:t xml:space="preserve">– structural price relative of the reporting period </w:t>
      </w:r>
      <w:r w:rsidRPr="0064699F">
        <w:rPr>
          <w:i/>
          <w:sz w:val="28"/>
          <w:szCs w:val="28"/>
        </w:rPr>
        <w:t xml:space="preserve">t </w:t>
      </w:r>
      <w:r w:rsidRPr="0064699F">
        <w:rPr>
          <w:sz w:val="28"/>
          <w:szCs w:val="28"/>
        </w:rPr>
        <w:t xml:space="preserve">positions </w:t>
      </w:r>
      <w:r w:rsidRPr="0064699F">
        <w:rPr>
          <w:snapToGrid w:val="0"/>
          <w:position w:val="-12"/>
          <w:sz w:val="28"/>
          <w:szCs w:val="28"/>
        </w:rPr>
        <w:object w:dxaOrig="220" w:dyaOrig="360">
          <v:shape id="_x0000_i1051" type="#_x0000_t75" style="width:8.5pt;height:16.5pt" o:ole="" fillcolor="window">
            <v:imagedata r:id="rId54" o:title=""/>
          </v:shape>
          <o:OLEObject Type="Embed" ProgID="Equation.3" ShapeID="_x0000_i1051" DrawAspect="Content" ObjectID="_1745396358" r:id="rId55"/>
        </w:object>
      </w:r>
      <w:r w:rsidRPr="0064699F">
        <w:rPr>
          <w:sz w:val="28"/>
          <w:szCs w:val="28"/>
        </w:rPr>
        <w:t>;</w:t>
      </w:r>
    </w:p>
    <w:p w:rsidR="00D2095D" w:rsidRPr="0064699F" w:rsidRDefault="00D2095D" w:rsidP="00D2095D">
      <w:pPr>
        <w:pStyle w:val="3"/>
        <w:spacing w:before="0"/>
        <w:ind w:firstLine="709"/>
        <w:rPr>
          <w:sz w:val="28"/>
          <w:szCs w:val="28"/>
        </w:rPr>
      </w:pPr>
      <w:r w:rsidRPr="0064699F">
        <w:rPr>
          <w:snapToGrid w:val="0"/>
          <w:position w:val="-16"/>
          <w:sz w:val="28"/>
          <w:szCs w:val="28"/>
        </w:rPr>
        <w:object w:dxaOrig="660" w:dyaOrig="440">
          <v:shape id="_x0000_i1052" type="#_x0000_t75" style="width:29pt;height:15pt" o:ole="" fillcolor="window">
            <v:imagedata r:id="rId56" o:title=""/>
          </v:shape>
          <o:OLEObject Type="Embed" ProgID="Equation.3" ShapeID="_x0000_i1052" DrawAspect="Content" ObjectID="_1745396359" r:id="rId57"/>
        </w:object>
      </w:r>
      <w:r w:rsidRPr="0064699F">
        <w:rPr>
          <w:sz w:val="28"/>
          <w:szCs w:val="28"/>
        </w:rPr>
        <w:t>– structural price relative of the reporting period</w:t>
      </w:r>
      <w:r w:rsidRPr="0064699F">
        <w:rPr>
          <w:i/>
          <w:snapToGrid w:val="0"/>
          <w:position w:val="-6"/>
          <w:sz w:val="28"/>
          <w:szCs w:val="28"/>
        </w:rPr>
        <w:object w:dxaOrig="160" w:dyaOrig="279">
          <v:shape id="_x0000_i1053" type="#_x0000_t75" style="width:6pt;height:13.5pt" o:ole="" fillcolor="window">
            <v:imagedata r:id="rId58" o:title=""/>
          </v:shape>
          <o:OLEObject Type="Embed" ProgID="Equation.3" ShapeID="_x0000_i1053" DrawAspect="Content" ObjectID="_1745396360" r:id="rId59"/>
        </w:object>
      </w:r>
      <w:r w:rsidRPr="0064699F">
        <w:rPr>
          <w:i/>
          <w:sz w:val="28"/>
          <w:szCs w:val="28"/>
        </w:rPr>
        <w:t xml:space="preserve"> </w:t>
      </w:r>
      <w:r w:rsidRPr="0064699F">
        <w:rPr>
          <w:sz w:val="28"/>
          <w:szCs w:val="28"/>
        </w:rPr>
        <w:t xml:space="preserve">excluded position </w:t>
      </w:r>
      <w:r w:rsidRPr="0064699F">
        <w:rPr>
          <w:snapToGrid w:val="0"/>
          <w:position w:val="-12"/>
          <w:sz w:val="28"/>
          <w:szCs w:val="28"/>
        </w:rPr>
        <w:object w:dxaOrig="240" w:dyaOrig="300">
          <v:shape id="_x0000_i1054" type="#_x0000_t75" style="width:9.5pt;height:14pt" o:ole="" fillcolor="window">
            <v:imagedata r:id="rId60" o:title=""/>
          </v:shape>
          <o:OLEObject Type="Embed" ProgID="Equation.3" ShapeID="_x0000_i1054" DrawAspect="Content" ObjectID="_1745396361" r:id="rId61"/>
        </w:object>
      </w:r>
      <w:r w:rsidRPr="0064699F">
        <w:rPr>
          <w:sz w:val="28"/>
          <w:szCs w:val="28"/>
        </w:rPr>
        <w:t>;</w:t>
      </w:r>
    </w:p>
    <w:p w:rsidR="00D2095D" w:rsidRPr="0064699F" w:rsidRDefault="00D2095D" w:rsidP="00D2095D">
      <w:pPr>
        <w:pStyle w:val="3"/>
        <w:spacing w:before="0"/>
        <w:ind w:firstLine="709"/>
        <w:rPr>
          <w:sz w:val="28"/>
          <w:szCs w:val="28"/>
        </w:rPr>
      </w:pPr>
      <w:r w:rsidRPr="0064699F">
        <w:rPr>
          <w:snapToGrid w:val="0"/>
          <w:position w:val="-16"/>
          <w:sz w:val="28"/>
          <w:szCs w:val="28"/>
        </w:rPr>
        <w:object w:dxaOrig="480" w:dyaOrig="440">
          <v:shape id="_x0000_i1055" type="#_x0000_t75" style="width:18.5pt;height:18.5pt" o:ole="" fillcolor="window">
            <v:imagedata r:id="rId62" o:title=""/>
          </v:shape>
          <o:OLEObject Type="Embed" ProgID="Equation.3" ShapeID="_x0000_i1055" DrawAspect="Content" ObjectID="_1745396362" r:id="rId63"/>
        </w:object>
      </w:r>
      <w:r w:rsidRPr="0064699F">
        <w:rPr>
          <w:sz w:val="28"/>
          <w:szCs w:val="28"/>
        </w:rPr>
        <w:t xml:space="preserve">- the share of the position </w:t>
      </w:r>
      <w:r w:rsidRPr="0064699F">
        <w:rPr>
          <w:snapToGrid w:val="0"/>
          <w:position w:val="-12"/>
          <w:sz w:val="28"/>
          <w:szCs w:val="28"/>
        </w:rPr>
        <w:object w:dxaOrig="220" w:dyaOrig="360">
          <v:shape id="_x0000_i1056" type="#_x0000_t75" style="width:8.5pt;height:16.5pt" o:ole="" fillcolor="window">
            <v:imagedata r:id="rId54" o:title=""/>
          </v:shape>
          <o:OLEObject Type="Embed" ProgID="Equation.3" ShapeID="_x0000_i1056" DrawAspect="Content" ObjectID="_1745396363" r:id="rId64"/>
        </w:object>
      </w:r>
      <w:r w:rsidRPr="0064699F">
        <w:rPr>
          <w:sz w:val="28"/>
          <w:szCs w:val="28"/>
        </w:rPr>
        <w:t>in the overall structure of consumer spending in the base period;</w:t>
      </w:r>
    </w:p>
    <w:p w:rsidR="00D2095D" w:rsidRPr="0064699F" w:rsidRDefault="00D2095D" w:rsidP="00D2095D">
      <w:pPr>
        <w:pStyle w:val="3"/>
        <w:spacing w:before="0"/>
        <w:ind w:firstLine="709"/>
        <w:rPr>
          <w:sz w:val="28"/>
          <w:szCs w:val="28"/>
        </w:rPr>
      </w:pPr>
      <w:r w:rsidRPr="0064699F">
        <w:rPr>
          <w:snapToGrid w:val="0"/>
          <w:position w:val="-16"/>
          <w:sz w:val="28"/>
          <w:szCs w:val="28"/>
        </w:rPr>
        <w:object w:dxaOrig="499" w:dyaOrig="440">
          <v:shape id="_x0000_i1057" type="#_x0000_t75" style="width:19.5pt;height:18.5pt" o:ole="" fillcolor="window">
            <v:imagedata r:id="rId65" o:title=""/>
          </v:shape>
          <o:OLEObject Type="Embed" ProgID="Equation.3" ShapeID="_x0000_i1057" DrawAspect="Content" ObjectID="_1745396364" r:id="rId66"/>
        </w:object>
      </w:r>
      <w:r w:rsidRPr="0064699F">
        <w:rPr>
          <w:sz w:val="28"/>
          <w:szCs w:val="28"/>
        </w:rPr>
        <w:t xml:space="preserve">- the share of the excluded item </w:t>
      </w:r>
      <w:r w:rsidRPr="0064699F">
        <w:rPr>
          <w:snapToGrid w:val="0"/>
          <w:position w:val="-12"/>
          <w:sz w:val="28"/>
          <w:szCs w:val="28"/>
        </w:rPr>
        <w:object w:dxaOrig="240" w:dyaOrig="300">
          <v:shape id="_x0000_i1058" type="#_x0000_t75" style="width:9.5pt;height:14pt" o:ole="" fillcolor="window">
            <v:imagedata r:id="rId60" o:title=""/>
          </v:shape>
          <o:OLEObject Type="Embed" ProgID="Equation.3" ShapeID="_x0000_i1058" DrawAspect="Content" ObjectID="_1745396365" r:id="rId67"/>
        </w:object>
      </w:r>
      <w:r w:rsidRPr="0064699F">
        <w:rPr>
          <w:sz w:val="28"/>
          <w:szCs w:val="28"/>
        </w:rPr>
        <w:t>in the overall structure of consumer spending in the base period;</w:t>
      </w:r>
    </w:p>
    <w:p w:rsidR="00D2095D" w:rsidRPr="0064699F" w:rsidRDefault="00D2095D" w:rsidP="00D2095D">
      <w:pPr>
        <w:pStyle w:val="3"/>
        <w:spacing w:before="0"/>
        <w:ind w:firstLine="709"/>
        <w:rPr>
          <w:sz w:val="28"/>
          <w:szCs w:val="28"/>
        </w:rPr>
      </w:pPr>
      <w:r w:rsidRPr="0064699F">
        <w:rPr>
          <w:snapToGrid w:val="0"/>
          <w:position w:val="-12"/>
          <w:sz w:val="28"/>
          <w:szCs w:val="28"/>
        </w:rPr>
        <w:object w:dxaOrig="1620" w:dyaOrig="400">
          <v:shape id="_x0000_i1059" type="#_x0000_t75" style="width:54.5pt;height:17pt" o:ole="" fillcolor="window">
            <v:imagedata r:id="rId68" o:title=""/>
          </v:shape>
          <o:OLEObject Type="Embed" ProgID="Equation.3" ShapeID="_x0000_i1059" DrawAspect="Content" ObjectID="_1745396366" r:id="rId69"/>
        </w:object>
      </w:r>
      <w:r w:rsidRPr="0064699F">
        <w:rPr>
          <w:sz w:val="28"/>
          <w:szCs w:val="28"/>
        </w:rPr>
        <w:t>– specific excluded items;</w:t>
      </w:r>
    </w:p>
    <w:p w:rsidR="00D2095D" w:rsidRPr="0064699F" w:rsidRDefault="00D2095D" w:rsidP="00D2095D">
      <w:pPr>
        <w:pStyle w:val="3"/>
        <w:spacing w:before="0"/>
        <w:ind w:firstLine="709"/>
        <w:rPr>
          <w:sz w:val="28"/>
          <w:szCs w:val="28"/>
        </w:rPr>
      </w:pPr>
      <w:r w:rsidRPr="0064699F">
        <w:rPr>
          <w:i/>
          <w:snapToGrid w:val="0"/>
          <w:position w:val="-6"/>
          <w:sz w:val="28"/>
          <w:szCs w:val="28"/>
        </w:rPr>
        <w:object w:dxaOrig="220" w:dyaOrig="240">
          <v:shape id="_x0000_i1060" type="#_x0000_t75" style="width:8.5pt;height:11.5pt" o:ole="" fillcolor="window">
            <v:imagedata r:id="rId70" o:title=""/>
          </v:shape>
          <o:OLEObject Type="Embed" ProgID="Equation.3" ShapeID="_x0000_i1060" DrawAspect="Content" ObjectID="_1745396367" r:id="rId71"/>
        </w:object>
      </w:r>
      <w:r w:rsidRPr="0064699F">
        <w:rPr>
          <w:i/>
          <w:sz w:val="28"/>
          <w:szCs w:val="28"/>
        </w:rPr>
        <w:t xml:space="preserve"> </w:t>
      </w:r>
      <w:r w:rsidRPr="0064699F">
        <w:rPr>
          <w:sz w:val="28"/>
          <w:szCs w:val="28"/>
        </w:rPr>
        <w:t>– number of excluded positions;</w:t>
      </w:r>
    </w:p>
    <w:p w:rsidR="00D2095D" w:rsidRPr="0064699F" w:rsidRDefault="00D2095D" w:rsidP="00D2095D">
      <w:pPr>
        <w:pStyle w:val="3"/>
        <w:spacing w:before="0"/>
        <w:ind w:firstLine="709"/>
        <w:rPr>
          <w:sz w:val="28"/>
          <w:szCs w:val="28"/>
        </w:rPr>
      </w:pPr>
      <w:r w:rsidRPr="0064699F">
        <w:rPr>
          <w:snapToGrid w:val="0"/>
          <w:position w:val="-16"/>
          <w:sz w:val="28"/>
          <w:szCs w:val="28"/>
        </w:rPr>
        <w:object w:dxaOrig="660" w:dyaOrig="440">
          <v:shape id="_x0000_i1061" type="#_x0000_t75" style="width:25pt;height:21.5pt" o:ole="" fillcolor="window">
            <v:imagedata r:id="rId72" o:title=""/>
          </v:shape>
          <o:OLEObject Type="Embed" ProgID="Equation.3" ShapeID="_x0000_i1061" DrawAspect="Content" ObjectID="_1745396368" r:id="rId73"/>
        </w:object>
      </w:r>
      <w:r w:rsidRPr="0064699F">
        <w:rPr>
          <w:sz w:val="28"/>
          <w:szCs w:val="28"/>
        </w:rPr>
        <w:t xml:space="preserve">– individual price indices of the position </w:t>
      </w:r>
      <w:r w:rsidRPr="0064699F">
        <w:rPr>
          <w:snapToGrid w:val="0"/>
          <w:position w:val="-12"/>
          <w:sz w:val="28"/>
          <w:szCs w:val="28"/>
        </w:rPr>
        <w:object w:dxaOrig="220" w:dyaOrig="360">
          <v:shape id="_x0000_i1062" type="#_x0000_t75" style="width:8.5pt;height:16.5pt" o:ole="" fillcolor="window">
            <v:imagedata r:id="rId54" o:title=""/>
          </v:shape>
          <o:OLEObject Type="Embed" ProgID="Equation.3" ShapeID="_x0000_i1062" DrawAspect="Content" ObjectID="_1745396369" r:id="rId74"/>
        </w:object>
      </w:r>
      <w:r w:rsidRPr="0064699F">
        <w:rPr>
          <w:sz w:val="28"/>
          <w:szCs w:val="28"/>
        </w:rPr>
        <w:t xml:space="preserve">and excluded position </w:t>
      </w:r>
      <w:r w:rsidRPr="0064699F">
        <w:rPr>
          <w:i/>
          <w:sz w:val="28"/>
          <w:szCs w:val="28"/>
        </w:rPr>
        <w:t xml:space="preserve">y </w:t>
      </w:r>
      <w:r w:rsidRPr="0064699F">
        <w:rPr>
          <w:sz w:val="28"/>
          <w:szCs w:val="28"/>
        </w:rPr>
        <w:t xml:space="preserve">in the reporting period </w:t>
      </w:r>
      <w:r w:rsidRPr="0064699F">
        <w:rPr>
          <w:snapToGrid w:val="0"/>
          <w:position w:val="-6"/>
          <w:sz w:val="28"/>
          <w:szCs w:val="28"/>
        </w:rPr>
        <w:object w:dxaOrig="160" w:dyaOrig="279">
          <v:shape id="_x0000_i1063" type="#_x0000_t75" style="width:6pt;height:13.5pt" o:ole="" fillcolor="window">
            <v:imagedata r:id="rId58" o:title=""/>
          </v:shape>
          <o:OLEObject Type="Embed" ProgID="Equation.3" ShapeID="_x0000_i1063" DrawAspect="Content" ObjectID="_1745396370" r:id="rId75"/>
        </w:object>
      </w:r>
      <w:r w:rsidRPr="0064699F">
        <w:rPr>
          <w:sz w:val="28"/>
          <w:szCs w:val="28"/>
        </w:rPr>
        <w:t>;</w:t>
      </w:r>
    </w:p>
    <w:p w:rsidR="00D2095D" w:rsidRPr="0064699F" w:rsidRDefault="00D2095D" w:rsidP="00D2095D">
      <w:pPr>
        <w:pStyle w:val="3"/>
        <w:spacing w:before="0"/>
        <w:ind w:firstLine="709"/>
        <w:rPr>
          <w:sz w:val="28"/>
          <w:szCs w:val="28"/>
        </w:rPr>
      </w:pPr>
      <w:r w:rsidRPr="0064699F">
        <w:rPr>
          <w:snapToGrid w:val="0"/>
          <w:position w:val="-6"/>
          <w:sz w:val="28"/>
          <w:szCs w:val="28"/>
        </w:rPr>
        <w:object w:dxaOrig="220" w:dyaOrig="240">
          <v:shape id="_x0000_i1064" type="#_x0000_t75" style="width:8.5pt;height:11.5pt" o:ole="" fillcolor="window">
            <v:imagedata r:id="rId76" o:title=""/>
          </v:shape>
          <o:OLEObject Type="Embed" ProgID="Equation.3" ShapeID="_x0000_i1064" DrawAspect="Content" ObjectID="_1745396371" r:id="rId77"/>
        </w:object>
      </w:r>
      <w:r w:rsidR="00974076">
        <w:rPr>
          <w:sz w:val="28"/>
          <w:szCs w:val="28"/>
        </w:rPr>
        <w:t>-</w:t>
      </w:r>
      <w:r w:rsidRPr="0064699F">
        <w:rPr>
          <w:sz w:val="28"/>
          <w:szCs w:val="28"/>
        </w:rPr>
        <w:t xml:space="preserve"> the total number of positions in the consumer set;</w:t>
      </w:r>
    </w:p>
    <w:p w:rsidR="00D2095D" w:rsidRPr="0064699F" w:rsidRDefault="00D2095D" w:rsidP="00D2095D">
      <w:pPr>
        <w:numPr>
          <w:ilvl w:val="0"/>
          <w:numId w:val="9"/>
        </w:numPr>
        <w:tabs>
          <w:tab w:val="left" w:pos="993"/>
        </w:tabs>
        <w:ind w:left="0" w:firstLine="709"/>
        <w:jc w:val="both"/>
        <w:rPr>
          <w:sz w:val="28"/>
          <w:szCs w:val="28"/>
        </w:rPr>
      </w:pPr>
      <w:r w:rsidRPr="0064699F">
        <w:rPr>
          <w:sz w:val="28"/>
          <w:szCs w:val="28"/>
        </w:rPr>
        <w:t xml:space="preserve">in order to achieve the accuracy of </w:t>
      </w:r>
      <w:r w:rsidR="00974076">
        <w:rPr>
          <w:sz w:val="28"/>
          <w:szCs w:val="28"/>
        </w:rPr>
        <w:t>BCPI</w:t>
      </w:r>
      <w:r w:rsidRPr="0064699F">
        <w:rPr>
          <w:sz w:val="28"/>
          <w:szCs w:val="28"/>
        </w:rPr>
        <w:t xml:space="preserve"> calculation without taking into account three and seven components, after the exclusion from the general set of “non-basic” components for the remaining positions, the procedure for normalizing the basic weights is carried out.</w:t>
      </w:r>
    </w:p>
    <w:p w:rsidR="00D2095D" w:rsidRPr="0064699F" w:rsidRDefault="00D2095D" w:rsidP="00D2095D">
      <w:pPr>
        <w:tabs>
          <w:tab w:val="left" w:pos="993"/>
        </w:tabs>
        <w:spacing w:after="120"/>
        <w:ind w:firstLine="709"/>
        <w:jc w:val="both"/>
        <w:rPr>
          <w:sz w:val="28"/>
          <w:szCs w:val="28"/>
        </w:rPr>
      </w:pPr>
      <w:r w:rsidRPr="0064699F">
        <w:rPr>
          <w:sz w:val="28"/>
          <w:szCs w:val="28"/>
        </w:rPr>
        <w:t>To do this, a normalization coefficient is found, defined as the result of the ratio of the total weights to the sum of the remaining weight components:</w:t>
      </w:r>
    </w:p>
    <w:p w:rsidR="00D2095D" w:rsidRPr="0064699F" w:rsidRDefault="00D2095D" w:rsidP="00D2095D">
      <w:pPr>
        <w:pStyle w:val="3"/>
        <w:tabs>
          <w:tab w:val="right" w:pos="9639"/>
        </w:tabs>
        <w:spacing w:before="0"/>
        <w:ind w:left="1701" w:right="-2" w:firstLine="0"/>
        <w:rPr>
          <w:sz w:val="28"/>
          <w:szCs w:val="28"/>
        </w:rPr>
      </w:pPr>
      <w:r w:rsidRPr="0064699F">
        <w:rPr>
          <w:i/>
          <w:position w:val="-34"/>
          <w:sz w:val="28"/>
          <w:szCs w:val="28"/>
        </w:rPr>
        <w:object w:dxaOrig="3240" w:dyaOrig="800">
          <v:shape id="_x0000_i1065" type="#_x0000_t75" style="width:156pt;height:37.5pt" o:ole="">
            <v:imagedata r:id="rId78" o:title=""/>
          </v:shape>
          <o:OLEObject Type="Embed" ProgID="Equation.3" ShapeID="_x0000_i1065" DrawAspect="Content" ObjectID="_1745396372" r:id="rId79"/>
        </w:object>
      </w:r>
      <w:r w:rsidRPr="0064699F">
        <w:rPr>
          <w:sz w:val="28"/>
          <w:szCs w:val="28"/>
        </w:rPr>
        <w:t>or</w:t>
      </w:r>
      <w:r w:rsidRPr="0064699F">
        <w:rPr>
          <w:sz w:val="28"/>
          <w:szCs w:val="28"/>
          <w:lang w:val="kk-KZ"/>
        </w:rPr>
        <w:t xml:space="preserve"> </w:t>
      </w:r>
      <w:r w:rsidRPr="0064699F">
        <w:rPr>
          <w:position w:val="-34"/>
          <w:sz w:val="28"/>
          <w:szCs w:val="28"/>
        </w:rPr>
        <w:object w:dxaOrig="2620" w:dyaOrig="800">
          <v:shape id="_x0000_i1066" type="#_x0000_t75" style="width:120.5pt;height:35.5pt" o:ole="">
            <v:imagedata r:id="rId80" o:title=""/>
          </v:shape>
          <o:OLEObject Type="Embed" ProgID="Equation.3" ShapeID="_x0000_i1066" DrawAspect="Content" ObjectID="_1745396373" r:id="rId81"/>
        </w:object>
      </w:r>
      <w:r w:rsidRPr="0064699F">
        <w:rPr>
          <w:sz w:val="28"/>
          <w:szCs w:val="28"/>
        </w:rPr>
        <w:t xml:space="preserve">, </w:t>
      </w:r>
      <w:r w:rsidRPr="0064699F">
        <w:rPr>
          <w:sz w:val="28"/>
          <w:szCs w:val="28"/>
        </w:rPr>
        <w:tab/>
        <w:t>(8)</w:t>
      </w:r>
    </w:p>
    <w:p w:rsidR="00D2095D" w:rsidRPr="0064699F" w:rsidRDefault="004E7135" w:rsidP="00D2095D">
      <w:pPr>
        <w:pStyle w:val="3"/>
        <w:tabs>
          <w:tab w:val="left" w:pos="8280"/>
        </w:tabs>
        <w:ind w:firstLine="709"/>
        <w:jc w:val="left"/>
        <w:rPr>
          <w:sz w:val="28"/>
          <w:szCs w:val="28"/>
        </w:rPr>
      </w:pPr>
      <w:r>
        <w:rPr>
          <w:sz w:val="28"/>
          <w:szCs w:val="28"/>
        </w:rPr>
        <w:t>where:</w:t>
      </w:r>
    </w:p>
    <w:p w:rsidR="00D2095D" w:rsidRPr="0064699F" w:rsidRDefault="00D2095D" w:rsidP="00D2095D">
      <w:pPr>
        <w:pStyle w:val="3"/>
        <w:tabs>
          <w:tab w:val="left" w:pos="8280"/>
        </w:tabs>
        <w:spacing w:before="0"/>
        <w:ind w:firstLine="709"/>
        <w:jc w:val="left"/>
        <w:rPr>
          <w:sz w:val="28"/>
          <w:szCs w:val="28"/>
        </w:rPr>
      </w:pPr>
      <w:r w:rsidRPr="0064699F">
        <w:rPr>
          <w:snapToGrid w:val="0"/>
          <w:position w:val="-12"/>
          <w:sz w:val="28"/>
          <w:szCs w:val="28"/>
        </w:rPr>
        <w:object w:dxaOrig="460" w:dyaOrig="400">
          <v:shape id="_x0000_i1067" type="#_x0000_t75" style="width:15pt;height:16.5pt" o:ole="" fillcolor="window">
            <v:imagedata r:id="rId82" o:title=""/>
          </v:shape>
          <o:OLEObject Type="Embed" ProgID="Equation.3" ShapeID="_x0000_i1067" DrawAspect="Content" ObjectID="_1745396374" r:id="rId83"/>
        </w:object>
      </w:r>
      <w:r w:rsidRPr="0064699F">
        <w:rPr>
          <w:i/>
          <w:sz w:val="28"/>
          <w:szCs w:val="28"/>
          <w:vertAlign w:val="subscript"/>
        </w:rPr>
        <w:t xml:space="preserve">  </w:t>
      </w:r>
      <w:r w:rsidR="00974076">
        <w:rPr>
          <w:i/>
          <w:sz w:val="28"/>
          <w:szCs w:val="28"/>
        </w:rPr>
        <w:t>-</w:t>
      </w:r>
      <w:r w:rsidRPr="0064699F">
        <w:rPr>
          <w:i/>
          <w:sz w:val="28"/>
          <w:szCs w:val="28"/>
        </w:rPr>
        <w:t xml:space="preserve"> </w:t>
      </w:r>
      <w:r w:rsidRPr="0064699F">
        <w:rPr>
          <w:sz w:val="28"/>
          <w:szCs w:val="28"/>
        </w:rPr>
        <w:t>the normalization coefficient;</w:t>
      </w:r>
    </w:p>
    <w:p w:rsidR="00D2095D" w:rsidRPr="0064699F" w:rsidRDefault="00D2095D" w:rsidP="00D2095D">
      <w:pPr>
        <w:pStyle w:val="3"/>
        <w:tabs>
          <w:tab w:val="left" w:pos="8280"/>
        </w:tabs>
        <w:spacing w:before="0"/>
        <w:ind w:firstLine="709"/>
        <w:jc w:val="left"/>
        <w:rPr>
          <w:sz w:val="28"/>
          <w:szCs w:val="28"/>
        </w:rPr>
      </w:pPr>
      <w:r w:rsidRPr="0064699F">
        <w:rPr>
          <w:snapToGrid w:val="0"/>
          <w:position w:val="-16"/>
          <w:sz w:val="28"/>
          <w:szCs w:val="28"/>
        </w:rPr>
        <w:object w:dxaOrig="820" w:dyaOrig="499">
          <v:shape id="_x0000_i1068" type="#_x0000_t75" style="width:38pt;height:16.5pt" o:ole="" fillcolor="window">
            <v:imagedata r:id="rId84" o:title=""/>
          </v:shape>
          <o:OLEObject Type="Embed" ProgID="Equation.3" ShapeID="_x0000_i1068" DrawAspect="Content" ObjectID="_1745396375" r:id="rId85"/>
        </w:object>
      </w:r>
      <w:r w:rsidR="00974076">
        <w:rPr>
          <w:i/>
          <w:sz w:val="28"/>
          <w:szCs w:val="28"/>
        </w:rPr>
        <w:t>-</w:t>
      </w:r>
      <w:r w:rsidRPr="0064699F">
        <w:rPr>
          <w:i/>
          <w:sz w:val="28"/>
          <w:szCs w:val="28"/>
        </w:rPr>
        <w:t xml:space="preserve"> </w:t>
      </w:r>
      <w:r w:rsidRPr="0064699F">
        <w:rPr>
          <w:sz w:val="28"/>
          <w:szCs w:val="28"/>
        </w:rPr>
        <w:t>the result of the ratio of the total sum of the weights;</w:t>
      </w:r>
    </w:p>
    <w:p w:rsidR="00D2095D" w:rsidRPr="0064699F" w:rsidRDefault="00D2095D" w:rsidP="00D2095D">
      <w:pPr>
        <w:pStyle w:val="3"/>
        <w:tabs>
          <w:tab w:val="left" w:pos="8280"/>
        </w:tabs>
        <w:spacing w:before="0"/>
        <w:ind w:firstLine="709"/>
        <w:jc w:val="left"/>
        <w:rPr>
          <w:sz w:val="28"/>
          <w:szCs w:val="28"/>
        </w:rPr>
      </w:pPr>
      <w:r w:rsidRPr="0064699F">
        <w:rPr>
          <w:snapToGrid w:val="0"/>
          <w:position w:val="-16"/>
          <w:sz w:val="28"/>
          <w:szCs w:val="28"/>
        </w:rPr>
        <w:object w:dxaOrig="1800" w:dyaOrig="499">
          <v:shape id="_x0000_i1069" type="#_x0000_t75" style="width:62pt;height:17.5pt" o:ole="" fillcolor="window">
            <v:imagedata r:id="rId86" o:title=""/>
          </v:shape>
          <o:OLEObject Type="Embed" ProgID="Equation.3" ShapeID="_x0000_i1069" DrawAspect="Content" ObjectID="_1745396376" r:id="rId87"/>
        </w:object>
      </w:r>
      <w:r w:rsidRPr="0064699F">
        <w:rPr>
          <w:i/>
          <w:sz w:val="28"/>
          <w:szCs w:val="28"/>
        </w:rPr>
        <w:t xml:space="preserve">- </w:t>
      </w:r>
      <w:r w:rsidRPr="0064699F">
        <w:rPr>
          <w:sz w:val="28"/>
          <w:szCs w:val="28"/>
        </w:rPr>
        <w:t>weight components.</w:t>
      </w:r>
    </w:p>
    <w:p w:rsidR="00D2095D" w:rsidRPr="0064699F" w:rsidRDefault="00D2095D" w:rsidP="00D2095D">
      <w:pPr>
        <w:ind w:firstLine="709"/>
        <w:jc w:val="both"/>
        <w:rPr>
          <w:sz w:val="28"/>
          <w:szCs w:val="28"/>
        </w:rPr>
      </w:pPr>
      <w:r w:rsidRPr="0064699F">
        <w:rPr>
          <w:sz w:val="28"/>
          <w:szCs w:val="28"/>
        </w:rPr>
        <w:t xml:space="preserve">The normalization procedure is carried out as the sum of the components when included in the </w:t>
      </w:r>
      <w:r w:rsidR="00974076">
        <w:rPr>
          <w:sz w:val="28"/>
          <w:szCs w:val="28"/>
        </w:rPr>
        <w:t>BCPI</w:t>
      </w:r>
      <w:r w:rsidRPr="0064699F">
        <w:rPr>
          <w:sz w:val="28"/>
          <w:szCs w:val="28"/>
        </w:rPr>
        <w:t xml:space="preserve"> indicator and is one or 100 percent.</w:t>
      </w:r>
    </w:p>
    <w:p w:rsidR="00D2095D" w:rsidRPr="0064699F" w:rsidRDefault="00D2095D" w:rsidP="00D2095D">
      <w:pPr>
        <w:numPr>
          <w:ilvl w:val="0"/>
          <w:numId w:val="9"/>
        </w:numPr>
        <w:tabs>
          <w:tab w:val="left" w:pos="1134"/>
        </w:tabs>
        <w:ind w:left="0" w:firstLine="709"/>
        <w:jc w:val="both"/>
        <w:rPr>
          <w:sz w:val="28"/>
          <w:szCs w:val="28"/>
        </w:rPr>
      </w:pPr>
      <w:r w:rsidRPr="0064699F">
        <w:rPr>
          <w:sz w:val="28"/>
          <w:szCs w:val="28"/>
        </w:rPr>
        <w:t xml:space="preserve">as a result, each product (service) representative, the change in prices (tariffs) for which are included in the </w:t>
      </w:r>
      <w:r w:rsidR="00974076">
        <w:rPr>
          <w:sz w:val="28"/>
          <w:szCs w:val="28"/>
        </w:rPr>
        <w:t>BCPI</w:t>
      </w:r>
      <w:r w:rsidRPr="0064699F">
        <w:rPr>
          <w:sz w:val="28"/>
          <w:szCs w:val="28"/>
        </w:rPr>
        <w:t xml:space="preserve"> calculations, is given additional weight.</w:t>
      </w:r>
    </w:p>
    <w:p w:rsidR="00D2095D" w:rsidRPr="0064699F" w:rsidRDefault="00D2095D" w:rsidP="00D2095D">
      <w:pPr>
        <w:tabs>
          <w:tab w:val="left" w:pos="1134"/>
        </w:tabs>
        <w:ind w:firstLine="709"/>
        <w:jc w:val="both"/>
        <w:rPr>
          <w:sz w:val="28"/>
          <w:szCs w:val="28"/>
        </w:rPr>
      </w:pPr>
      <w:r w:rsidRPr="0064699F">
        <w:rPr>
          <w:sz w:val="28"/>
          <w:szCs w:val="28"/>
        </w:rPr>
        <w:t>The normalized specific gravity is found by multiplying the basis weight by the resulting normalization factor:</w:t>
      </w:r>
    </w:p>
    <w:p w:rsidR="00D2095D" w:rsidRPr="0064699F" w:rsidRDefault="00D2095D" w:rsidP="00D2095D">
      <w:pPr>
        <w:pStyle w:val="3"/>
        <w:tabs>
          <w:tab w:val="right" w:pos="9639"/>
        </w:tabs>
        <w:spacing w:before="0"/>
        <w:ind w:left="3261" w:firstLine="0"/>
        <w:jc w:val="right"/>
        <w:rPr>
          <w:sz w:val="28"/>
          <w:szCs w:val="28"/>
        </w:rPr>
      </w:pPr>
      <w:r w:rsidRPr="0064699F">
        <w:rPr>
          <w:snapToGrid w:val="0"/>
          <w:position w:val="-16"/>
          <w:sz w:val="28"/>
          <w:szCs w:val="28"/>
        </w:rPr>
        <w:object w:dxaOrig="1920" w:dyaOrig="440">
          <v:shape id="_x0000_i1070" type="#_x0000_t75" style="width:87.5pt;height:18.5pt" o:ole="" fillcolor="window">
            <v:imagedata r:id="rId88" o:title=""/>
          </v:shape>
          <o:OLEObject Type="Embed" ProgID="Equation.3" ShapeID="_x0000_i1070" DrawAspect="Content" ObjectID="_1745396377" r:id="rId89"/>
        </w:object>
      </w:r>
      <w:r w:rsidRPr="0064699F">
        <w:rPr>
          <w:sz w:val="28"/>
          <w:szCs w:val="28"/>
        </w:rPr>
        <w:t xml:space="preserve">, </w:t>
      </w:r>
      <w:r w:rsidRPr="0064699F">
        <w:rPr>
          <w:sz w:val="28"/>
          <w:szCs w:val="28"/>
          <w:vertAlign w:val="subscript"/>
        </w:rPr>
        <w:tab/>
      </w:r>
      <w:r w:rsidRPr="0064699F">
        <w:rPr>
          <w:sz w:val="28"/>
          <w:szCs w:val="28"/>
        </w:rPr>
        <w:t>(9)</w:t>
      </w:r>
    </w:p>
    <w:p w:rsidR="00D2095D" w:rsidRPr="0064699F" w:rsidRDefault="004E7135" w:rsidP="00D2095D">
      <w:pPr>
        <w:pStyle w:val="3"/>
        <w:spacing w:before="0"/>
        <w:ind w:firstLine="709"/>
        <w:rPr>
          <w:sz w:val="28"/>
          <w:szCs w:val="28"/>
        </w:rPr>
      </w:pPr>
      <w:r>
        <w:rPr>
          <w:sz w:val="28"/>
          <w:szCs w:val="28"/>
        </w:rPr>
        <w:t>where:</w:t>
      </w:r>
    </w:p>
    <w:p w:rsidR="00D2095D" w:rsidRPr="0064699F" w:rsidRDefault="00D2095D" w:rsidP="00D2095D">
      <w:pPr>
        <w:pStyle w:val="3"/>
        <w:spacing w:before="0"/>
        <w:ind w:firstLine="709"/>
        <w:rPr>
          <w:i/>
          <w:sz w:val="28"/>
          <w:szCs w:val="28"/>
        </w:rPr>
      </w:pPr>
      <w:r w:rsidRPr="0064699F">
        <w:rPr>
          <w:snapToGrid w:val="0"/>
          <w:position w:val="-16"/>
          <w:sz w:val="28"/>
          <w:szCs w:val="28"/>
        </w:rPr>
        <w:object w:dxaOrig="480" w:dyaOrig="440">
          <v:shape id="_x0000_i1071" type="#_x0000_t75" style="width:18.5pt;height:18.5pt" o:ole="" fillcolor="window">
            <v:imagedata r:id="rId90" o:title=""/>
          </v:shape>
          <o:OLEObject Type="Embed" ProgID="Equation.3" ShapeID="_x0000_i1071" DrawAspect="Content" ObjectID="_1745396378" r:id="rId91"/>
        </w:object>
      </w:r>
      <w:r w:rsidRPr="0064699F">
        <w:rPr>
          <w:i/>
          <w:sz w:val="28"/>
          <w:szCs w:val="28"/>
        </w:rPr>
        <w:t xml:space="preserve">– </w:t>
      </w:r>
      <w:r w:rsidRPr="0064699F">
        <w:rPr>
          <w:sz w:val="28"/>
          <w:szCs w:val="28"/>
        </w:rPr>
        <w:t>normalized weight;</w:t>
      </w:r>
    </w:p>
    <w:p w:rsidR="00D2095D" w:rsidRPr="0064699F" w:rsidRDefault="00D2095D" w:rsidP="00D2095D">
      <w:pPr>
        <w:pStyle w:val="3"/>
        <w:spacing w:before="0"/>
        <w:ind w:firstLine="709"/>
        <w:rPr>
          <w:i/>
          <w:sz w:val="28"/>
          <w:szCs w:val="28"/>
        </w:rPr>
      </w:pPr>
      <w:r w:rsidRPr="0064699F">
        <w:rPr>
          <w:snapToGrid w:val="0"/>
          <w:position w:val="-16"/>
          <w:sz w:val="28"/>
          <w:szCs w:val="28"/>
        </w:rPr>
        <w:object w:dxaOrig="480" w:dyaOrig="440">
          <v:shape id="_x0000_i1072" type="#_x0000_t75" style="width:18.5pt;height:18.5pt" o:ole="" fillcolor="window">
            <v:imagedata r:id="rId62" o:title=""/>
          </v:shape>
          <o:OLEObject Type="Embed" ProgID="Equation.3" ShapeID="_x0000_i1072" DrawAspect="Content" ObjectID="_1745396379" r:id="rId92"/>
        </w:object>
      </w:r>
      <w:r w:rsidRPr="0064699F">
        <w:rPr>
          <w:i/>
          <w:sz w:val="28"/>
          <w:szCs w:val="28"/>
        </w:rPr>
        <w:t xml:space="preserve">- </w:t>
      </w:r>
      <w:r w:rsidRPr="0064699F">
        <w:rPr>
          <w:sz w:val="28"/>
          <w:szCs w:val="28"/>
        </w:rPr>
        <w:t>base weight;</w:t>
      </w:r>
    </w:p>
    <w:p w:rsidR="00D2095D" w:rsidRPr="0064699F" w:rsidRDefault="00D2095D" w:rsidP="00D2095D">
      <w:pPr>
        <w:pStyle w:val="3"/>
        <w:spacing w:before="0"/>
        <w:ind w:firstLine="709"/>
        <w:rPr>
          <w:i/>
          <w:sz w:val="28"/>
          <w:szCs w:val="28"/>
        </w:rPr>
      </w:pPr>
      <w:r w:rsidRPr="0064699F">
        <w:rPr>
          <w:snapToGrid w:val="0"/>
          <w:position w:val="-12"/>
          <w:sz w:val="28"/>
          <w:szCs w:val="28"/>
        </w:rPr>
        <w:object w:dxaOrig="460" w:dyaOrig="400">
          <v:shape id="_x0000_i1073" type="#_x0000_t75" style="width:18pt;height:15pt" o:ole="" fillcolor="window">
            <v:imagedata r:id="rId82" o:title=""/>
          </v:shape>
          <o:OLEObject Type="Embed" ProgID="Equation.3" ShapeID="_x0000_i1073" DrawAspect="Content" ObjectID="_1745396380" r:id="rId93"/>
        </w:object>
      </w:r>
      <w:r w:rsidR="00974076">
        <w:rPr>
          <w:i/>
          <w:sz w:val="28"/>
          <w:szCs w:val="28"/>
        </w:rPr>
        <w:t>-</w:t>
      </w:r>
      <w:r w:rsidRPr="0064699F">
        <w:rPr>
          <w:i/>
          <w:sz w:val="28"/>
          <w:szCs w:val="28"/>
        </w:rPr>
        <w:t xml:space="preserve"> </w:t>
      </w:r>
      <w:r w:rsidRPr="0064699F">
        <w:rPr>
          <w:sz w:val="28"/>
          <w:szCs w:val="28"/>
        </w:rPr>
        <w:t>the normalization coefficient.</w:t>
      </w:r>
    </w:p>
    <w:p w:rsidR="00D2095D" w:rsidRPr="0064699F" w:rsidRDefault="00D2095D" w:rsidP="00D2095D">
      <w:pPr>
        <w:pStyle w:val="3"/>
        <w:numPr>
          <w:ilvl w:val="0"/>
          <w:numId w:val="9"/>
        </w:numPr>
        <w:tabs>
          <w:tab w:val="left" w:pos="1134"/>
        </w:tabs>
        <w:spacing w:before="0"/>
        <w:ind w:left="0" w:firstLine="709"/>
        <w:rPr>
          <w:sz w:val="28"/>
          <w:szCs w:val="28"/>
        </w:rPr>
      </w:pPr>
      <w:r w:rsidRPr="0064699F">
        <w:rPr>
          <w:sz w:val="28"/>
          <w:szCs w:val="28"/>
        </w:rPr>
        <w:t xml:space="preserve">taking into account the normalized weight for the remaining positions, the aggregated </w:t>
      </w:r>
      <w:r w:rsidR="00974076">
        <w:rPr>
          <w:sz w:val="28"/>
          <w:szCs w:val="28"/>
        </w:rPr>
        <w:t>BCPI</w:t>
      </w:r>
      <w:r w:rsidRPr="0064699F">
        <w:rPr>
          <w:sz w:val="28"/>
          <w:szCs w:val="28"/>
        </w:rPr>
        <w:t xml:space="preserve"> index is recalculated.</w:t>
      </w:r>
    </w:p>
    <w:p w:rsidR="00D2095D" w:rsidRPr="0064699F" w:rsidRDefault="00D2095D" w:rsidP="00D2095D">
      <w:pPr>
        <w:pStyle w:val="3"/>
        <w:tabs>
          <w:tab w:val="left" w:pos="1134"/>
        </w:tabs>
        <w:spacing w:before="0"/>
        <w:ind w:firstLine="709"/>
        <w:rPr>
          <w:sz w:val="28"/>
          <w:szCs w:val="28"/>
        </w:rPr>
      </w:pPr>
      <w:r w:rsidRPr="0064699F">
        <w:rPr>
          <w:sz w:val="28"/>
          <w:szCs w:val="28"/>
        </w:rPr>
        <w:t xml:space="preserve">Calculation of </w:t>
      </w:r>
      <w:r w:rsidR="00974076">
        <w:rPr>
          <w:sz w:val="28"/>
          <w:szCs w:val="28"/>
        </w:rPr>
        <w:t>BCPI</w:t>
      </w:r>
      <w:r w:rsidRPr="0064699F">
        <w:rPr>
          <w:sz w:val="28"/>
          <w:szCs w:val="28"/>
        </w:rPr>
        <w:t xml:space="preserve"> without taking into account changes in prices </w:t>
      </w:r>
      <w:r w:rsidRPr="0064699F">
        <w:rPr>
          <w:bCs/>
          <w:sz w:val="28"/>
          <w:szCs w:val="28"/>
        </w:rPr>
        <w:t xml:space="preserve">for fresh fruits and vegetables, gasoline and coal </w:t>
      </w:r>
      <w:r w:rsidRPr="0064699F">
        <w:rPr>
          <w:sz w:val="28"/>
          <w:szCs w:val="28"/>
        </w:rPr>
        <w:t>is given in Appendix 2 to this Methodology.</w:t>
      </w:r>
    </w:p>
    <w:p w:rsidR="00D2095D" w:rsidRDefault="004E7135" w:rsidP="004E7135">
      <w:pPr>
        <w:pageBreakBefore/>
        <w:ind w:left="5954"/>
      </w:pPr>
      <w:r>
        <w:lastRenderedPageBreak/>
        <w:t xml:space="preserve">Appendix </w:t>
      </w:r>
      <w:r w:rsidR="00D2095D">
        <w:t>1 to the List of some orders of the Chairman of the Statistics Committee of the Ministry of National Economy of the Republic of Kazakhstan, which are amended</w:t>
      </w:r>
    </w:p>
    <w:p w:rsidR="00D2095D" w:rsidRDefault="00D2095D" w:rsidP="00D2095D">
      <w:pPr>
        <w:ind w:left="5954"/>
      </w:pPr>
    </w:p>
    <w:p w:rsidR="00D2095D" w:rsidRDefault="004E7135" w:rsidP="00D2095D">
      <w:pPr>
        <w:ind w:left="5954"/>
      </w:pPr>
      <w:r>
        <w:t>Appendix 1</w:t>
      </w:r>
    </w:p>
    <w:p w:rsidR="00D2095D" w:rsidRPr="0064699F" w:rsidRDefault="004E7135" w:rsidP="00D2095D">
      <w:pPr>
        <w:ind w:left="5954"/>
      </w:pPr>
      <w:r w:rsidRPr="004E7135">
        <w:t xml:space="preserve">to the Methodology for calculating the </w:t>
      </w:r>
      <w:r w:rsidR="00974076">
        <w:t>basic</w:t>
      </w:r>
      <w:r w:rsidRPr="004E7135">
        <w:t xml:space="preserve"> consumer price index</w:t>
      </w:r>
    </w:p>
    <w:p w:rsidR="00D2095D" w:rsidRPr="0064699F" w:rsidRDefault="00D2095D" w:rsidP="00D2095D">
      <w:pPr>
        <w:ind w:left="6521"/>
      </w:pPr>
    </w:p>
    <w:p w:rsidR="00D2095D" w:rsidRPr="0064699F" w:rsidRDefault="00D2095D" w:rsidP="00D2095D">
      <w:pPr>
        <w:ind w:left="6521"/>
      </w:pPr>
    </w:p>
    <w:p w:rsidR="00D2095D" w:rsidRPr="0064699F" w:rsidRDefault="00D2095D" w:rsidP="00D2095D">
      <w:pPr>
        <w:jc w:val="center"/>
        <w:rPr>
          <w:b/>
        </w:rPr>
      </w:pPr>
      <w:r w:rsidRPr="00A4232F">
        <w:rPr>
          <w:b/>
        </w:rPr>
        <w:t>List of goods and services for calculating the basic consumer price index without taking into account price changes for individual specific components</w:t>
      </w:r>
    </w:p>
    <w:p w:rsidR="00D2095D" w:rsidRPr="0064699F" w:rsidRDefault="00D2095D" w:rsidP="00D2095D">
      <w:pPr>
        <w:jc w:val="cente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134"/>
        <w:gridCol w:w="1258"/>
        <w:gridCol w:w="1259"/>
        <w:gridCol w:w="1310"/>
      </w:tblGrid>
      <w:tr w:rsidR="00D2095D" w:rsidRPr="0037249E" w:rsidTr="00A33F8B">
        <w:trPr>
          <w:trHeight w:val="20"/>
        </w:trPr>
        <w:tc>
          <w:tcPr>
            <w:tcW w:w="4678" w:type="dxa"/>
            <w:vMerge w:val="restart"/>
            <w:shd w:val="clear" w:color="auto" w:fill="auto"/>
            <w:tcMar>
              <w:left w:w="28" w:type="dxa"/>
              <w:right w:w="28" w:type="dxa"/>
            </w:tcMar>
            <w:vAlign w:val="center"/>
          </w:tcPr>
          <w:p w:rsidR="00D2095D" w:rsidRPr="0037249E" w:rsidRDefault="00D2095D" w:rsidP="00A33F8B">
            <w:pPr>
              <w:jc w:val="center"/>
              <w:rPr>
                <w:sz w:val="20"/>
                <w:szCs w:val="20"/>
              </w:rPr>
            </w:pPr>
            <w:r w:rsidRPr="0037249E">
              <w:rPr>
                <w:sz w:val="20"/>
                <w:szCs w:val="20"/>
              </w:rPr>
              <w:t>Name</w:t>
            </w:r>
          </w:p>
        </w:tc>
        <w:tc>
          <w:tcPr>
            <w:tcW w:w="1134" w:type="dxa"/>
            <w:vMerge w:val="restart"/>
            <w:tcMar>
              <w:left w:w="28" w:type="dxa"/>
              <w:right w:w="28" w:type="dxa"/>
            </w:tcMar>
            <w:vAlign w:val="center"/>
          </w:tcPr>
          <w:p w:rsidR="00D2095D" w:rsidRPr="0037249E" w:rsidRDefault="00D2095D" w:rsidP="00A33F8B">
            <w:pPr>
              <w:jc w:val="center"/>
              <w:rPr>
                <w:sz w:val="20"/>
                <w:szCs w:val="20"/>
              </w:rPr>
            </w:pPr>
            <w:r w:rsidRPr="0037249E">
              <w:rPr>
                <w:sz w:val="20"/>
                <w:szCs w:val="20"/>
              </w:rPr>
              <w:t>Code</w:t>
            </w:r>
          </w:p>
        </w:tc>
        <w:tc>
          <w:tcPr>
            <w:tcW w:w="3827" w:type="dxa"/>
            <w:gridSpan w:val="3"/>
            <w:vAlign w:val="center"/>
          </w:tcPr>
          <w:p w:rsidR="00D2095D" w:rsidRPr="0037249E" w:rsidRDefault="00974076" w:rsidP="00A33F8B">
            <w:pPr>
              <w:jc w:val="center"/>
              <w:rPr>
                <w:sz w:val="20"/>
                <w:szCs w:val="20"/>
              </w:rPr>
            </w:pPr>
            <w:r>
              <w:rPr>
                <w:sz w:val="20"/>
                <w:szCs w:val="20"/>
              </w:rPr>
              <w:t>Basic</w:t>
            </w:r>
            <w:r w:rsidR="00D2095D" w:rsidRPr="0037249E">
              <w:rPr>
                <w:sz w:val="20"/>
                <w:szCs w:val="20"/>
              </w:rPr>
              <w:t xml:space="preserve"> consumer price index, which is not included in the calculation, *:</w:t>
            </w:r>
          </w:p>
        </w:tc>
      </w:tr>
      <w:tr w:rsidR="00D2095D" w:rsidRPr="0037249E" w:rsidTr="00A33F8B">
        <w:trPr>
          <w:trHeight w:val="20"/>
        </w:trPr>
        <w:tc>
          <w:tcPr>
            <w:tcW w:w="4678" w:type="dxa"/>
            <w:vMerge/>
            <w:shd w:val="clear" w:color="auto" w:fill="auto"/>
            <w:tcMar>
              <w:left w:w="28" w:type="dxa"/>
              <w:right w:w="28" w:type="dxa"/>
            </w:tcMar>
            <w:vAlign w:val="center"/>
          </w:tcPr>
          <w:p w:rsidR="00D2095D" w:rsidRPr="0037249E" w:rsidRDefault="00D2095D" w:rsidP="00A33F8B">
            <w:pPr>
              <w:jc w:val="center"/>
              <w:rPr>
                <w:sz w:val="20"/>
                <w:szCs w:val="20"/>
              </w:rPr>
            </w:pPr>
          </w:p>
        </w:tc>
        <w:tc>
          <w:tcPr>
            <w:tcW w:w="1134" w:type="dxa"/>
            <w:vMerge/>
            <w:tcMar>
              <w:left w:w="28" w:type="dxa"/>
              <w:right w:w="28" w:type="dxa"/>
            </w:tcMar>
            <w:vAlign w:val="center"/>
          </w:tcPr>
          <w:p w:rsidR="00D2095D" w:rsidRPr="0037249E" w:rsidRDefault="00D2095D" w:rsidP="00A33F8B">
            <w:pPr>
              <w:jc w:val="center"/>
              <w:rPr>
                <w:sz w:val="20"/>
                <w:szCs w:val="20"/>
              </w:rPr>
            </w:pPr>
          </w:p>
        </w:tc>
        <w:tc>
          <w:tcPr>
            <w:tcW w:w="1258" w:type="dxa"/>
            <w:tcMar>
              <w:left w:w="28" w:type="dxa"/>
              <w:right w:w="28" w:type="dxa"/>
            </w:tcMar>
            <w:vAlign w:val="center"/>
          </w:tcPr>
          <w:p w:rsidR="00D2095D" w:rsidRPr="0037249E" w:rsidRDefault="00D2095D" w:rsidP="00A33F8B">
            <w:pPr>
              <w:jc w:val="center"/>
              <w:rPr>
                <w:sz w:val="20"/>
                <w:szCs w:val="20"/>
              </w:rPr>
            </w:pPr>
            <w:r w:rsidRPr="0037249E">
              <w:rPr>
                <w:sz w:val="20"/>
                <w:szCs w:val="20"/>
              </w:rPr>
              <w:t>one component</w:t>
            </w:r>
          </w:p>
        </w:tc>
        <w:tc>
          <w:tcPr>
            <w:tcW w:w="1259" w:type="dxa"/>
            <w:shd w:val="clear" w:color="auto" w:fill="auto"/>
            <w:tcMar>
              <w:left w:w="28" w:type="dxa"/>
              <w:right w:w="28" w:type="dxa"/>
            </w:tcMar>
            <w:vAlign w:val="center"/>
          </w:tcPr>
          <w:p w:rsidR="00D2095D" w:rsidRPr="0037249E" w:rsidRDefault="00D2095D" w:rsidP="00A33F8B">
            <w:pPr>
              <w:jc w:val="center"/>
              <w:rPr>
                <w:sz w:val="20"/>
                <w:szCs w:val="20"/>
              </w:rPr>
            </w:pPr>
            <w:r w:rsidRPr="0037249E">
              <w:rPr>
                <w:sz w:val="20"/>
                <w:szCs w:val="20"/>
              </w:rPr>
              <w:t>three components</w:t>
            </w:r>
          </w:p>
        </w:tc>
        <w:tc>
          <w:tcPr>
            <w:tcW w:w="1310" w:type="dxa"/>
            <w:shd w:val="clear" w:color="auto" w:fill="auto"/>
            <w:tcMar>
              <w:left w:w="28" w:type="dxa"/>
              <w:right w:w="28" w:type="dxa"/>
            </w:tcMar>
            <w:vAlign w:val="center"/>
          </w:tcPr>
          <w:p w:rsidR="00D2095D" w:rsidRPr="0037249E" w:rsidRDefault="00D2095D" w:rsidP="00A33F8B">
            <w:pPr>
              <w:jc w:val="center"/>
              <w:rPr>
                <w:sz w:val="20"/>
                <w:szCs w:val="20"/>
              </w:rPr>
            </w:pPr>
            <w:r w:rsidRPr="0037249E">
              <w:rPr>
                <w:sz w:val="20"/>
                <w:szCs w:val="20"/>
              </w:rPr>
              <w:t>seven components</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sz w:val="20"/>
                <w:szCs w:val="20"/>
              </w:rPr>
            </w:pPr>
            <w:r w:rsidRPr="0037249E">
              <w:rPr>
                <w:sz w:val="20"/>
                <w:szCs w:val="20"/>
              </w:rPr>
              <w:t>Goods and services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14</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974076" w:rsidP="00A33F8B">
            <w:pPr>
              <w:rPr>
                <w:sz w:val="20"/>
                <w:szCs w:val="20"/>
              </w:rPr>
            </w:pPr>
            <w:r>
              <w:rPr>
                <w:sz w:val="20"/>
                <w:szCs w:val="20"/>
              </w:rPr>
              <w:t>Food products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sz w:val="20"/>
                <w:szCs w:val="20"/>
              </w:rPr>
            </w:pPr>
            <w:r w:rsidRPr="0037249E">
              <w:rPr>
                <w:sz w:val="20"/>
                <w:szCs w:val="20"/>
              </w:rPr>
              <w:t>Non-food products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2</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sz w:val="20"/>
                <w:szCs w:val="20"/>
              </w:rPr>
            </w:pPr>
            <w:r w:rsidRPr="0037249E">
              <w:rPr>
                <w:sz w:val="20"/>
                <w:szCs w:val="20"/>
              </w:rPr>
              <w:t>Paid services for the population</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19</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Bakery products and cereals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0111</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Meat</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0112</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Fish and seafood</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0113</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Dairy products, cheese and eggs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0114</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Oils and fats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0115</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Fruits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0116</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Fresh fruits</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01161</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r w:rsidRPr="0037249E">
              <w:rPr>
                <w:bCs/>
                <w:iCs/>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r w:rsidRPr="0037249E">
              <w:rPr>
                <w:bCs/>
                <w:iCs/>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Apples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01161001</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Grape</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01161002</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Bananas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01161007</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974076" w:rsidP="00A33F8B">
            <w:pPr>
              <w:ind w:left="227"/>
              <w:rPr>
                <w:sz w:val="20"/>
                <w:szCs w:val="20"/>
              </w:rPr>
            </w:pPr>
            <w:r>
              <w:rPr>
                <w:sz w:val="20"/>
                <w:szCs w:val="20"/>
              </w:rPr>
              <w:t>O</w:t>
            </w:r>
            <w:r w:rsidR="00D2095D" w:rsidRPr="0037249E">
              <w:rPr>
                <w:sz w:val="20"/>
                <w:szCs w:val="20"/>
              </w:rPr>
              <w:t>ranges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01161008</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Lemons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01161009</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Pears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01161011</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Kiwi</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01161017</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Fruits processed and canned</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01162</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Vegetables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0117</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Fresh vegetables</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01171</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r w:rsidRPr="0037249E">
              <w:rPr>
                <w:bCs/>
                <w:iCs/>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r w:rsidRPr="0037249E">
              <w:rPr>
                <w:bCs/>
                <w:iCs/>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Cabbage</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01171001</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Bulb onions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01171002</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Beet</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01171003</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Carrot</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01171004</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974076" w:rsidP="00A33F8B">
            <w:pPr>
              <w:ind w:left="227"/>
              <w:rPr>
                <w:sz w:val="20"/>
                <w:szCs w:val="20"/>
              </w:rPr>
            </w:pPr>
            <w:r>
              <w:rPr>
                <w:sz w:val="20"/>
                <w:szCs w:val="20"/>
              </w:rPr>
              <w:t>C</w:t>
            </w:r>
            <w:r w:rsidR="00D2095D" w:rsidRPr="0037249E">
              <w:rPr>
                <w:sz w:val="20"/>
                <w:szCs w:val="20"/>
              </w:rPr>
              <w:t>ucumbers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01171005</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Tomatoes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01171006</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Garlic</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01171008</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Sweet pepper</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01171010</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Cauliflower</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01171018</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sz w:val="20"/>
                <w:szCs w:val="20"/>
              </w:rPr>
            </w:pPr>
            <w:r w:rsidRPr="0037249E">
              <w:rPr>
                <w:sz w:val="20"/>
                <w:szCs w:val="20"/>
              </w:rPr>
              <w:t>Potatoes and other tubers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01172</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Potato</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01172001</w:t>
            </w:r>
          </w:p>
        </w:tc>
        <w:tc>
          <w:tcPr>
            <w:tcW w:w="1258" w:type="dxa"/>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Vegetables processed and canned</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01174</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Sugar, jam, honey, chocolate and confectionery</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0118</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974076" w:rsidP="00A33F8B">
            <w:pPr>
              <w:rPr>
                <w:bCs/>
                <w:sz w:val="20"/>
                <w:szCs w:val="20"/>
              </w:rPr>
            </w:pPr>
            <w:r>
              <w:rPr>
                <w:bCs/>
                <w:sz w:val="20"/>
                <w:szCs w:val="20"/>
              </w:rPr>
              <w:t>Food products</w:t>
            </w:r>
            <w:r w:rsidR="00D2095D" w:rsidRPr="0037249E">
              <w:rPr>
                <w:bCs/>
                <w:sz w:val="20"/>
                <w:szCs w:val="20"/>
              </w:rPr>
              <w:t xml:space="preserve"> n.e.c.</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0119</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Soft drinks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012</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Alcoholic drinks, tobacco products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02</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Clothing and footwear</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03</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lastRenderedPageBreak/>
              <w:t>Housing services, water, electricity, gas and other fuels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04</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Water supply and other services related to the maintenance of residential premises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044</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Water supply</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0441</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r w:rsidRPr="0037249E">
              <w:rPr>
                <w:bCs/>
                <w:iCs/>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Cold water</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04410001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garbage collection</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0442</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garbage collection</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04420001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Drainage</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0443</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r w:rsidRPr="0037249E">
              <w:rPr>
                <w:bCs/>
                <w:iCs/>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Drainage</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04430001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Electricity, gas and other fuels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045</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Electricity</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0451</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r w:rsidRPr="0037249E">
              <w:rPr>
                <w:bCs/>
                <w:iCs/>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Electricity</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04510001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Gas</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0452</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Gas transported through distribution networks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04520001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Liquefied gas (in cylinders)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04520002</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solid fuel</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0454</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Coal</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04540001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Firewood</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04540002</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Thermal energy</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0455</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Heating is central</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04550001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Hot water</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04550006</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Household items, home appliances and ongoing home maintenance</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05</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healthcare</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06</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Transport</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07</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sz w:val="20"/>
                <w:szCs w:val="20"/>
              </w:rPr>
            </w:pPr>
            <w:r w:rsidRPr="0037249E">
              <w:rPr>
                <w:sz w:val="20"/>
                <w:szCs w:val="20"/>
              </w:rPr>
              <w:t>Purchase of vehicles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071</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sz w:val="20"/>
                <w:szCs w:val="20"/>
              </w:rPr>
            </w:pPr>
            <w:r w:rsidRPr="0037249E">
              <w:rPr>
                <w:sz w:val="20"/>
                <w:szCs w:val="20"/>
              </w:rPr>
              <w:t>Operation of personal vehicles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072</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sz w:val="20"/>
                <w:szCs w:val="20"/>
              </w:rPr>
            </w:pPr>
            <w:r w:rsidRPr="0037249E">
              <w:rPr>
                <w:sz w:val="20"/>
                <w:szCs w:val="20"/>
              </w:rPr>
              <w:t>Spare parts and accessories for personal vehicles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0721</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iCs/>
                <w:sz w:val="20"/>
                <w:szCs w:val="20"/>
              </w:rPr>
            </w:pPr>
            <w:r w:rsidRPr="0037249E">
              <w:rPr>
                <w:bCs/>
                <w:iCs/>
                <w:sz w:val="20"/>
                <w:szCs w:val="20"/>
              </w:rPr>
              <w:t>Fuels and lubricants for personal vehicles</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0722</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sz w:val="20"/>
                <w:szCs w:val="20"/>
              </w:rPr>
            </w:pPr>
            <w:r w:rsidRPr="0037249E">
              <w:rPr>
                <w:sz w:val="20"/>
                <w:szCs w:val="20"/>
              </w:rPr>
              <w:t>Petrol</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07221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Gasoline AI-98</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07221001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Gasoline AI-92</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07221005</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Gasoline AI-95, AI-96</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07221007</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bCs/>
                <w:iCs/>
                <w:sz w:val="20"/>
                <w:szCs w:val="20"/>
              </w:rPr>
            </w:pPr>
            <w:r w:rsidRPr="0037249E">
              <w:rPr>
                <w:bCs/>
                <w:iCs/>
                <w:sz w:val="20"/>
                <w:szCs w:val="20"/>
              </w:rPr>
              <w:t>Fuels and lubricants for personal vehicles</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07222</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Diesel fuel</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07222001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Engine oil</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07222004</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57" w:type="dxa"/>
              <w:right w:w="57" w:type="dxa"/>
            </w:tcMar>
            <w:vAlign w:val="bottom"/>
          </w:tcPr>
          <w:p w:rsidR="00D2095D" w:rsidRPr="0037249E" w:rsidRDefault="00D2095D" w:rsidP="00A33F8B">
            <w:pPr>
              <w:rPr>
                <w:bCs/>
                <w:sz w:val="20"/>
                <w:szCs w:val="20"/>
              </w:rPr>
            </w:pPr>
            <w:r w:rsidRPr="0037249E">
              <w:rPr>
                <w:bCs/>
                <w:sz w:val="20"/>
                <w:szCs w:val="20"/>
              </w:rPr>
              <w:t>Transport services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073</w:t>
            </w:r>
          </w:p>
        </w:tc>
        <w:tc>
          <w:tcPr>
            <w:tcW w:w="1258" w:type="dxa"/>
            <w:tcMar>
              <w:left w:w="57" w:type="dxa"/>
              <w:right w:w="57" w:type="dxa"/>
            </w:tcMar>
            <w:vAlign w:val="bottom"/>
          </w:tcPr>
          <w:p w:rsidR="00D2095D" w:rsidRPr="0037249E" w:rsidRDefault="00D2095D" w:rsidP="00A33F8B">
            <w:pPr>
              <w:rPr>
                <w:bCs/>
                <w:sz w:val="20"/>
                <w:szCs w:val="20"/>
              </w:rPr>
            </w:pPr>
          </w:p>
        </w:tc>
        <w:tc>
          <w:tcPr>
            <w:tcW w:w="1259" w:type="dxa"/>
            <w:shd w:val="clear" w:color="auto" w:fill="auto"/>
            <w:noWrap/>
            <w:tcMar>
              <w:left w:w="57" w:type="dxa"/>
              <w:right w:w="57" w:type="dxa"/>
            </w:tcMar>
            <w:vAlign w:val="bottom"/>
          </w:tcPr>
          <w:p w:rsidR="00D2095D" w:rsidRPr="0037249E" w:rsidRDefault="00D2095D" w:rsidP="00A33F8B">
            <w:pPr>
              <w:rPr>
                <w:bCs/>
                <w:sz w:val="20"/>
                <w:szCs w:val="20"/>
              </w:rPr>
            </w:pPr>
          </w:p>
        </w:tc>
        <w:tc>
          <w:tcPr>
            <w:tcW w:w="1310" w:type="dxa"/>
            <w:shd w:val="clear" w:color="auto" w:fill="auto"/>
            <w:noWrap/>
            <w:tcMar>
              <w:left w:w="57" w:type="dxa"/>
              <w:right w:w="57" w:type="dxa"/>
            </w:tcMar>
            <w:vAlign w:val="bottom"/>
          </w:tcPr>
          <w:p w:rsidR="00D2095D" w:rsidRPr="0037249E" w:rsidRDefault="00D2095D" w:rsidP="00A33F8B">
            <w:pP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sz w:val="20"/>
                <w:szCs w:val="20"/>
              </w:rPr>
            </w:pPr>
            <w:r w:rsidRPr="0037249E">
              <w:rPr>
                <w:bCs/>
                <w:sz w:val="20"/>
                <w:szCs w:val="20"/>
              </w:rPr>
              <w:t>Rail passenger transport</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0731</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bCs/>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bCs/>
                <w:iCs/>
                <w:sz w:val="20"/>
                <w:szCs w:val="20"/>
              </w:rPr>
            </w:pPr>
            <w:r w:rsidRPr="0037249E">
              <w:rPr>
                <w:bCs/>
                <w:iCs/>
                <w:sz w:val="20"/>
                <w:szCs w:val="20"/>
              </w:rPr>
              <w:t>Local rail passenger transport</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07311</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Local train travel</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07311001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227"/>
              <w:rPr>
                <w:bCs/>
                <w:iCs/>
                <w:sz w:val="20"/>
                <w:szCs w:val="20"/>
              </w:rPr>
            </w:pPr>
            <w:r w:rsidRPr="0037249E">
              <w:rPr>
                <w:bCs/>
                <w:iCs/>
                <w:sz w:val="20"/>
                <w:szCs w:val="20"/>
              </w:rPr>
              <w:t>Passenger rail transport over long distances</w:t>
            </w:r>
          </w:p>
        </w:tc>
        <w:tc>
          <w:tcPr>
            <w:tcW w:w="1134" w:type="dxa"/>
            <w:tcMar>
              <w:left w:w="28" w:type="dxa"/>
              <w:right w:w="28" w:type="dxa"/>
            </w:tcMar>
            <w:vAlign w:val="bottom"/>
          </w:tcPr>
          <w:p w:rsidR="00D2095D" w:rsidRPr="0037249E" w:rsidRDefault="00D2095D" w:rsidP="00A33F8B">
            <w:pPr>
              <w:rPr>
                <w:bCs/>
                <w:iCs/>
                <w:sz w:val="20"/>
                <w:szCs w:val="20"/>
              </w:rPr>
            </w:pPr>
            <w:r w:rsidRPr="0037249E">
              <w:rPr>
                <w:bCs/>
                <w:iCs/>
                <w:sz w:val="20"/>
                <w:szCs w:val="20"/>
              </w:rPr>
              <w:t>07312</w:t>
            </w:r>
          </w:p>
        </w:tc>
        <w:tc>
          <w:tcPr>
            <w:tcW w:w="1258" w:type="dxa"/>
            <w:tcMar>
              <w:left w:w="28" w:type="dxa"/>
              <w:right w:w="28" w:type="dxa"/>
            </w:tcMar>
            <w:vAlign w:val="bottom"/>
          </w:tcPr>
          <w:p w:rsidR="00D2095D" w:rsidRPr="0037249E" w:rsidRDefault="00D2095D" w:rsidP="00A33F8B">
            <w:pPr>
              <w:jc w:val="center"/>
              <w:rPr>
                <w:bCs/>
                <w:i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i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Passage in a second-class carriage of an intra-republican train</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07312004</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Travel in a compartment car of an intra-republican train</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07312005</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sz w:val="20"/>
                <w:szCs w:val="20"/>
              </w:rPr>
            </w:pPr>
            <w:r w:rsidRPr="0037249E">
              <w:rPr>
                <w:sz w:val="20"/>
                <w:szCs w:val="20"/>
              </w:rPr>
              <w:t>Automobile passenger transport</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0732</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sz w:val="20"/>
                <w:szCs w:val="20"/>
              </w:rPr>
            </w:pPr>
            <w:r w:rsidRPr="0037249E">
              <w:rPr>
                <w:sz w:val="20"/>
                <w:szCs w:val="20"/>
              </w:rPr>
              <w:t>Air passenger transport</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0733</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Connection</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08</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sz w:val="20"/>
                <w:szCs w:val="20"/>
              </w:rPr>
            </w:pPr>
            <w:r w:rsidRPr="0037249E">
              <w:rPr>
                <w:bCs/>
                <w:sz w:val="20"/>
                <w:szCs w:val="20"/>
              </w:rPr>
              <w:t>Post services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081</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Sending parcels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08100002</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Courier services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08100003</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sz w:val="20"/>
                <w:szCs w:val="20"/>
              </w:rPr>
            </w:pPr>
            <w:r w:rsidRPr="0037249E">
              <w:rPr>
                <w:bCs/>
                <w:sz w:val="20"/>
                <w:szCs w:val="20"/>
              </w:rPr>
              <w:t>Telephone and fax equipment</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082</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113"/>
              <w:rPr>
                <w:bCs/>
                <w:sz w:val="20"/>
                <w:szCs w:val="20"/>
              </w:rPr>
            </w:pPr>
            <w:r w:rsidRPr="0037249E">
              <w:rPr>
                <w:bCs/>
                <w:sz w:val="20"/>
                <w:szCs w:val="20"/>
              </w:rPr>
              <w:t>Telephone and facsimile services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083</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Telephone subscription fee</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08300001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r w:rsidRPr="0037249E">
              <w:rPr>
                <w:sz w:val="20"/>
                <w:szCs w:val="20"/>
              </w:rPr>
              <w:t>*</w:t>
            </w: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Subscription fee for Internet access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08300004</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Cable television services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08300006</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Cellular services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08300008</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ind w:left="340"/>
              <w:rPr>
                <w:sz w:val="20"/>
                <w:szCs w:val="20"/>
              </w:rPr>
            </w:pPr>
            <w:r w:rsidRPr="0037249E">
              <w:rPr>
                <w:sz w:val="20"/>
                <w:szCs w:val="20"/>
              </w:rPr>
              <w:t>Satellite TV services</w:t>
            </w:r>
          </w:p>
        </w:tc>
        <w:tc>
          <w:tcPr>
            <w:tcW w:w="1134" w:type="dxa"/>
            <w:tcMar>
              <w:left w:w="28" w:type="dxa"/>
              <w:right w:w="28" w:type="dxa"/>
            </w:tcMar>
            <w:vAlign w:val="bottom"/>
          </w:tcPr>
          <w:p w:rsidR="00D2095D" w:rsidRPr="0037249E" w:rsidRDefault="00D2095D" w:rsidP="00A33F8B">
            <w:pPr>
              <w:rPr>
                <w:sz w:val="20"/>
                <w:szCs w:val="20"/>
              </w:rPr>
            </w:pPr>
            <w:r w:rsidRPr="0037249E">
              <w:rPr>
                <w:sz w:val="20"/>
                <w:szCs w:val="20"/>
              </w:rPr>
              <w:t>08300011</w:t>
            </w:r>
          </w:p>
        </w:tc>
        <w:tc>
          <w:tcPr>
            <w:tcW w:w="1258" w:type="dxa"/>
            <w:tcMar>
              <w:left w:w="28" w:type="dxa"/>
              <w:right w:w="28" w:type="dxa"/>
            </w:tcMar>
            <w:vAlign w:val="bottom"/>
          </w:tcPr>
          <w:p w:rsidR="00D2095D" w:rsidRPr="0037249E" w:rsidRDefault="00D2095D" w:rsidP="00A33F8B">
            <w:pPr>
              <w:jc w:val="center"/>
              <w:rPr>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lastRenderedPageBreak/>
              <w:t>Leisure and culture</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09</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Education</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10</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Restaurants and hotels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eleven</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r w:rsidR="00D2095D" w:rsidRPr="0037249E" w:rsidTr="00A33F8B">
        <w:trPr>
          <w:trHeight w:val="20"/>
        </w:trPr>
        <w:tc>
          <w:tcPr>
            <w:tcW w:w="4678" w:type="dxa"/>
            <w:shd w:val="clear" w:color="auto" w:fill="auto"/>
            <w:tcMar>
              <w:left w:w="28" w:type="dxa"/>
              <w:right w:w="28" w:type="dxa"/>
            </w:tcMar>
            <w:vAlign w:val="bottom"/>
          </w:tcPr>
          <w:p w:rsidR="00D2095D" w:rsidRPr="0037249E" w:rsidRDefault="00D2095D" w:rsidP="00A33F8B">
            <w:pPr>
              <w:rPr>
                <w:bCs/>
                <w:sz w:val="20"/>
                <w:szCs w:val="20"/>
              </w:rPr>
            </w:pPr>
            <w:r w:rsidRPr="0037249E">
              <w:rPr>
                <w:bCs/>
                <w:sz w:val="20"/>
                <w:szCs w:val="20"/>
              </w:rPr>
              <w:t>Miscellaneous goods and services</w:t>
            </w:r>
          </w:p>
        </w:tc>
        <w:tc>
          <w:tcPr>
            <w:tcW w:w="1134" w:type="dxa"/>
            <w:tcMar>
              <w:left w:w="28" w:type="dxa"/>
              <w:right w:w="28" w:type="dxa"/>
            </w:tcMar>
            <w:vAlign w:val="bottom"/>
          </w:tcPr>
          <w:p w:rsidR="00D2095D" w:rsidRPr="0037249E" w:rsidRDefault="00D2095D" w:rsidP="00A33F8B">
            <w:pPr>
              <w:rPr>
                <w:bCs/>
                <w:sz w:val="20"/>
                <w:szCs w:val="20"/>
              </w:rPr>
            </w:pPr>
            <w:r w:rsidRPr="0037249E">
              <w:rPr>
                <w:bCs/>
                <w:sz w:val="20"/>
                <w:szCs w:val="20"/>
              </w:rPr>
              <w:t>12</w:t>
            </w:r>
          </w:p>
        </w:tc>
        <w:tc>
          <w:tcPr>
            <w:tcW w:w="1258" w:type="dxa"/>
            <w:tcMar>
              <w:left w:w="28" w:type="dxa"/>
              <w:right w:w="28" w:type="dxa"/>
            </w:tcMar>
            <w:vAlign w:val="bottom"/>
          </w:tcPr>
          <w:p w:rsidR="00D2095D" w:rsidRPr="0037249E" w:rsidRDefault="00D2095D" w:rsidP="00A33F8B">
            <w:pPr>
              <w:jc w:val="center"/>
              <w:rPr>
                <w:bCs/>
                <w:sz w:val="20"/>
                <w:szCs w:val="20"/>
              </w:rPr>
            </w:pPr>
          </w:p>
        </w:tc>
        <w:tc>
          <w:tcPr>
            <w:tcW w:w="1259" w:type="dxa"/>
            <w:shd w:val="clear" w:color="auto" w:fill="auto"/>
            <w:noWrap/>
            <w:tcMar>
              <w:left w:w="28" w:type="dxa"/>
              <w:right w:w="28" w:type="dxa"/>
            </w:tcMar>
            <w:vAlign w:val="bottom"/>
          </w:tcPr>
          <w:p w:rsidR="00D2095D" w:rsidRPr="0037249E" w:rsidRDefault="00D2095D" w:rsidP="00A33F8B">
            <w:pPr>
              <w:jc w:val="center"/>
              <w:rPr>
                <w:bCs/>
                <w:sz w:val="20"/>
                <w:szCs w:val="20"/>
              </w:rPr>
            </w:pPr>
          </w:p>
        </w:tc>
        <w:tc>
          <w:tcPr>
            <w:tcW w:w="1310" w:type="dxa"/>
            <w:shd w:val="clear" w:color="auto" w:fill="auto"/>
            <w:noWrap/>
            <w:tcMar>
              <w:left w:w="28" w:type="dxa"/>
              <w:right w:w="28" w:type="dxa"/>
            </w:tcMar>
            <w:vAlign w:val="bottom"/>
          </w:tcPr>
          <w:p w:rsidR="00D2095D" w:rsidRPr="0037249E" w:rsidRDefault="00D2095D" w:rsidP="00A33F8B">
            <w:pPr>
              <w:jc w:val="center"/>
              <w:rPr>
                <w:sz w:val="20"/>
                <w:szCs w:val="20"/>
              </w:rPr>
            </w:pPr>
          </w:p>
        </w:tc>
      </w:tr>
    </w:tbl>
    <w:p w:rsidR="00D2095D" w:rsidRPr="0064699F" w:rsidRDefault="00D2095D" w:rsidP="00D2095D">
      <w:pPr>
        <w:ind w:left="6661"/>
        <w:jc w:val="center"/>
        <w:rPr>
          <w:sz w:val="22"/>
          <w:szCs w:val="22"/>
        </w:rPr>
      </w:pPr>
    </w:p>
    <w:p w:rsidR="00D2095D" w:rsidRDefault="00D2095D" w:rsidP="00D2095D">
      <w:pPr>
        <w:ind w:left="5954"/>
      </w:pPr>
      <w:r w:rsidRPr="0064699F">
        <w:rPr>
          <w:sz w:val="22"/>
          <w:szCs w:val="22"/>
        </w:rPr>
        <w:br w:type="page"/>
      </w:r>
      <w:r w:rsidR="004E7135">
        <w:lastRenderedPageBreak/>
        <w:t xml:space="preserve">appendix </w:t>
      </w:r>
      <w:r>
        <w:t>2</w:t>
      </w:r>
    </w:p>
    <w:p w:rsidR="00D2095D" w:rsidRDefault="004E7135" w:rsidP="00D2095D">
      <w:pPr>
        <w:ind w:left="5954"/>
      </w:pPr>
      <w:r w:rsidRPr="004E7135">
        <w:t>to the List of some orders of the Chairman of the Statistics Committee of the Ministry of National Economy of the Republic of Kazakhstan, which are amended</w:t>
      </w:r>
    </w:p>
    <w:p w:rsidR="00D2095D" w:rsidRDefault="00D2095D" w:rsidP="00D2095D">
      <w:pPr>
        <w:ind w:left="5954"/>
      </w:pPr>
    </w:p>
    <w:p w:rsidR="00D2095D" w:rsidRDefault="004E7135" w:rsidP="00D2095D">
      <w:pPr>
        <w:ind w:left="5954"/>
      </w:pPr>
      <w:r>
        <w:t>appendix 2</w:t>
      </w:r>
    </w:p>
    <w:p w:rsidR="00D2095D" w:rsidRPr="0064699F" w:rsidRDefault="004E7135" w:rsidP="00D2095D">
      <w:pPr>
        <w:ind w:left="5954"/>
      </w:pPr>
      <w:r w:rsidRPr="004E7135">
        <w:t xml:space="preserve">to the Methodology for calculating the </w:t>
      </w:r>
      <w:r w:rsidR="00974076">
        <w:t>basic</w:t>
      </w:r>
      <w:r w:rsidRPr="004E7135">
        <w:t xml:space="preserve"> consumer price index</w:t>
      </w:r>
    </w:p>
    <w:p w:rsidR="00D2095D" w:rsidRPr="0064699F" w:rsidRDefault="00D2095D" w:rsidP="00D2095D">
      <w:pPr>
        <w:ind w:left="6521"/>
      </w:pPr>
    </w:p>
    <w:p w:rsidR="00D2095D" w:rsidRPr="0064699F" w:rsidRDefault="00D2095D" w:rsidP="00D2095D">
      <w:pPr>
        <w:ind w:left="6521"/>
      </w:pPr>
    </w:p>
    <w:p w:rsidR="00D2095D" w:rsidRPr="0064699F" w:rsidRDefault="00D2095D" w:rsidP="00D2095D">
      <w:pPr>
        <w:jc w:val="center"/>
        <w:rPr>
          <w:b/>
          <w:bCs/>
        </w:rPr>
      </w:pPr>
      <w:r w:rsidRPr="00874E24">
        <w:rPr>
          <w:b/>
          <w:bCs/>
        </w:rPr>
        <w:t xml:space="preserve">Calculation of the </w:t>
      </w:r>
      <w:bookmarkStart w:id="0" w:name="_GoBack"/>
      <w:r w:rsidR="00974076">
        <w:rPr>
          <w:b/>
          <w:bCs/>
        </w:rPr>
        <w:t>basic</w:t>
      </w:r>
      <w:bookmarkEnd w:id="0"/>
      <w:r w:rsidRPr="00874E24">
        <w:rPr>
          <w:b/>
          <w:bCs/>
        </w:rPr>
        <w:t xml:space="preserve"> consumer price index without taking into account changes in prices for fresh fruits and vegetables, gasoline and coal</w:t>
      </w:r>
    </w:p>
    <w:p w:rsidR="00D2095D" w:rsidRDefault="00D2095D" w:rsidP="00D2095D">
      <w:pPr>
        <w:jc w:val="center"/>
        <w:rPr>
          <w:bCs/>
        </w:rPr>
      </w:pPr>
    </w:p>
    <w:tbl>
      <w:tblPr>
        <w:tblW w:w="96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855"/>
        <w:gridCol w:w="851"/>
        <w:gridCol w:w="33"/>
        <w:gridCol w:w="817"/>
        <w:gridCol w:w="992"/>
        <w:gridCol w:w="855"/>
        <w:gridCol w:w="1133"/>
        <w:gridCol w:w="1130"/>
      </w:tblGrid>
      <w:tr w:rsidR="00D2095D" w:rsidRPr="00EA0FB6" w:rsidTr="00A33F8B">
        <w:trPr>
          <w:trHeight w:val="20"/>
        </w:trPr>
        <w:tc>
          <w:tcPr>
            <w:tcW w:w="1998" w:type="dxa"/>
            <w:vMerge w:val="restart"/>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Name</w:t>
            </w:r>
          </w:p>
        </w:tc>
        <w:tc>
          <w:tcPr>
            <w:tcW w:w="990" w:type="dxa"/>
            <w:vMerge w:val="restart"/>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Code</w:t>
            </w:r>
          </w:p>
        </w:tc>
        <w:tc>
          <w:tcPr>
            <w:tcW w:w="1706" w:type="dxa"/>
            <w:gridSpan w:val="2"/>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Weight</w:t>
            </w:r>
          </w:p>
        </w:tc>
        <w:tc>
          <w:tcPr>
            <w:tcW w:w="850" w:type="dxa"/>
            <w:gridSpan w:val="2"/>
            <w:vMerge w:val="restart"/>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Price relative to December of the base year (for the previous month)</w:t>
            </w:r>
          </w:p>
        </w:tc>
        <w:tc>
          <w:tcPr>
            <w:tcW w:w="1847" w:type="dxa"/>
            <w:gridSpan w:val="2"/>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Price relative of the reporting month to</w:t>
            </w:r>
          </w:p>
        </w:tc>
        <w:tc>
          <w:tcPr>
            <w:tcW w:w="2263" w:type="dxa"/>
            <w:gridSpan w:val="2"/>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Structural price relative to December of the base year</w:t>
            </w:r>
          </w:p>
        </w:tc>
      </w:tr>
      <w:tr w:rsidR="00D2095D" w:rsidRPr="00EA0FB6" w:rsidTr="00A33F8B">
        <w:trPr>
          <w:trHeight w:val="20"/>
        </w:trPr>
        <w:tc>
          <w:tcPr>
            <w:tcW w:w="1998" w:type="dxa"/>
            <w:vMerge/>
            <w:tcMar>
              <w:left w:w="28" w:type="dxa"/>
              <w:right w:w="28" w:type="dxa"/>
            </w:tcMar>
            <w:vAlign w:val="center"/>
          </w:tcPr>
          <w:p w:rsidR="00D2095D" w:rsidRPr="00EA0FB6" w:rsidRDefault="00D2095D" w:rsidP="00A33F8B">
            <w:pPr>
              <w:jc w:val="center"/>
              <w:rPr>
                <w:sz w:val="20"/>
                <w:szCs w:val="20"/>
              </w:rPr>
            </w:pPr>
          </w:p>
        </w:tc>
        <w:tc>
          <w:tcPr>
            <w:tcW w:w="990" w:type="dxa"/>
            <w:vMerge/>
            <w:tcMar>
              <w:left w:w="28" w:type="dxa"/>
              <w:right w:w="28" w:type="dxa"/>
            </w:tcMar>
            <w:vAlign w:val="center"/>
          </w:tcPr>
          <w:p w:rsidR="00D2095D" w:rsidRPr="00EA0FB6" w:rsidRDefault="00D2095D" w:rsidP="00A33F8B">
            <w:pPr>
              <w:rPr>
                <w:sz w:val="20"/>
                <w:szCs w:val="20"/>
              </w:rPr>
            </w:pPr>
          </w:p>
        </w:tc>
        <w:tc>
          <w:tcPr>
            <w:tcW w:w="855" w:type="dxa"/>
            <w:shd w:val="clear" w:color="auto" w:fill="auto"/>
            <w:tcMar>
              <w:left w:w="28" w:type="dxa"/>
              <w:right w:w="28" w:type="dxa"/>
            </w:tcMar>
            <w:vAlign w:val="center"/>
          </w:tcPr>
          <w:p w:rsidR="00D2095D" w:rsidRPr="00EA0FB6" w:rsidRDefault="00D2095D" w:rsidP="00A33F8B">
            <w:pPr>
              <w:ind w:firstLine="28"/>
              <w:jc w:val="center"/>
              <w:rPr>
                <w:sz w:val="20"/>
                <w:szCs w:val="20"/>
              </w:rPr>
            </w:pPr>
            <w:r w:rsidRPr="00EA0FB6">
              <w:rPr>
                <w:sz w:val="20"/>
                <w:szCs w:val="20"/>
                <w:lang w:val="kk-KZ"/>
              </w:rPr>
              <w:t xml:space="preserve">consumer price </w:t>
            </w:r>
            <w:r w:rsidRPr="00EA0FB6">
              <w:rPr>
                <w:sz w:val="20"/>
                <w:szCs w:val="20"/>
              </w:rPr>
              <w:t>index without three components</w:t>
            </w:r>
          </w:p>
        </w:tc>
        <w:tc>
          <w:tcPr>
            <w:tcW w:w="851" w:type="dxa"/>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normalized</w:t>
            </w:r>
          </w:p>
        </w:tc>
        <w:tc>
          <w:tcPr>
            <w:tcW w:w="850" w:type="dxa"/>
            <w:gridSpan w:val="2"/>
            <w:vMerge/>
            <w:tcMar>
              <w:left w:w="28" w:type="dxa"/>
              <w:right w:w="28" w:type="dxa"/>
            </w:tcMar>
            <w:vAlign w:val="center"/>
          </w:tcPr>
          <w:p w:rsidR="00D2095D" w:rsidRPr="00EA0FB6" w:rsidRDefault="00D2095D" w:rsidP="00A33F8B">
            <w:pPr>
              <w:jc w:val="center"/>
              <w:rPr>
                <w:sz w:val="20"/>
                <w:szCs w:val="20"/>
              </w:rPr>
            </w:pPr>
          </w:p>
        </w:tc>
        <w:tc>
          <w:tcPr>
            <w:tcW w:w="992" w:type="dxa"/>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previous month</w:t>
            </w:r>
          </w:p>
        </w:tc>
        <w:tc>
          <w:tcPr>
            <w:tcW w:w="855" w:type="dxa"/>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December of the base year</w:t>
            </w:r>
          </w:p>
        </w:tc>
        <w:tc>
          <w:tcPr>
            <w:tcW w:w="1133" w:type="dxa"/>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reporting month</w:t>
            </w:r>
          </w:p>
        </w:tc>
        <w:tc>
          <w:tcPr>
            <w:tcW w:w="1130" w:type="dxa"/>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previous month</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jc w:val="center"/>
              <w:rPr>
                <w:sz w:val="20"/>
                <w:szCs w:val="20"/>
              </w:rPr>
            </w:pPr>
            <w:r w:rsidRPr="00EA0FB6">
              <w:rPr>
                <w:sz w:val="20"/>
                <w:szCs w:val="20"/>
              </w:rPr>
              <w:t>A</w:t>
            </w:r>
          </w:p>
        </w:tc>
        <w:tc>
          <w:tcPr>
            <w:tcW w:w="990" w:type="dxa"/>
            <w:shd w:val="clear" w:color="auto" w:fill="auto"/>
            <w:noWrap/>
            <w:tcMar>
              <w:left w:w="28" w:type="dxa"/>
              <w:right w:w="28" w:type="dxa"/>
            </w:tcMar>
            <w:vAlign w:val="bottom"/>
          </w:tcPr>
          <w:p w:rsidR="00D2095D" w:rsidRPr="00EA0FB6" w:rsidRDefault="00D2095D" w:rsidP="00A33F8B">
            <w:pPr>
              <w:jc w:val="center"/>
              <w:rPr>
                <w:sz w:val="20"/>
                <w:szCs w:val="20"/>
              </w:rPr>
            </w:pPr>
            <w:r w:rsidRPr="00EA0FB6">
              <w:rPr>
                <w:sz w:val="20"/>
                <w:szCs w:val="20"/>
              </w:rPr>
              <w:t>B</w:t>
            </w:r>
          </w:p>
        </w:tc>
        <w:tc>
          <w:tcPr>
            <w:tcW w:w="855" w:type="dxa"/>
            <w:shd w:val="clear" w:color="auto" w:fill="auto"/>
            <w:tcMar>
              <w:left w:w="28" w:type="dxa"/>
              <w:right w:w="28" w:type="dxa"/>
            </w:tcMar>
            <w:vAlign w:val="bottom"/>
          </w:tcPr>
          <w:p w:rsidR="00D2095D" w:rsidRPr="00EA0FB6" w:rsidRDefault="00D2095D" w:rsidP="00A33F8B">
            <w:pPr>
              <w:jc w:val="center"/>
              <w:rPr>
                <w:sz w:val="20"/>
                <w:szCs w:val="20"/>
              </w:rPr>
            </w:pPr>
            <w:r w:rsidRPr="00EA0FB6">
              <w:rPr>
                <w:sz w:val="20"/>
                <w:szCs w:val="20"/>
              </w:rPr>
              <w:t>1</w:t>
            </w:r>
          </w:p>
        </w:tc>
        <w:tc>
          <w:tcPr>
            <w:tcW w:w="851" w:type="dxa"/>
            <w:shd w:val="clear" w:color="auto" w:fill="auto"/>
            <w:tcMar>
              <w:left w:w="28" w:type="dxa"/>
              <w:right w:w="28" w:type="dxa"/>
            </w:tcMar>
            <w:vAlign w:val="bottom"/>
          </w:tcPr>
          <w:p w:rsidR="00D2095D" w:rsidRPr="00EA0FB6" w:rsidRDefault="00D2095D" w:rsidP="00A33F8B">
            <w:pPr>
              <w:jc w:val="center"/>
              <w:rPr>
                <w:sz w:val="20"/>
                <w:szCs w:val="20"/>
              </w:rPr>
            </w:pPr>
            <w:r w:rsidRPr="00EA0FB6">
              <w:rPr>
                <w:sz w:val="20"/>
                <w:szCs w:val="20"/>
              </w:rPr>
              <w:t>2</w:t>
            </w:r>
          </w:p>
        </w:tc>
        <w:tc>
          <w:tcPr>
            <w:tcW w:w="850" w:type="dxa"/>
            <w:gridSpan w:val="2"/>
            <w:shd w:val="clear" w:color="auto" w:fill="auto"/>
            <w:noWrap/>
            <w:tcMar>
              <w:left w:w="28" w:type="dxa"/>
              <w:right w:w="28" w:type="dxa"/>
            </w:tcMar>
            <w:vAlign w:val="bottom"/>
          </w:tcPr>
          <w:p w:rsidR="00D2095D" w:rsidRPr="00EA0FB6" w:rsidRDefault="00D2095D" w:rsidP="00A33F8B">
            <w:pPr>
              <w:jc w:val="center"/>
              <w:rPr>
                <w:sz w:val="20"/>
                <w:szCs w:val="20"/>
              </w:rPr>
            </w:pPr>
            <w:r w:rsidRPr="00EA0FB6">
              <w:rPr>
                <w:sz w:val="20"/>
                <w:szCs w:val="20"/>
              </w:rPr>
              <w:t>3</w:t>
            </w:r>
          </w:p>
        </w:tc>
        <w:tc>
          <w:tcPr>
            <w:tcW w:w="992" w:type="dxa"/>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4=6/7</w:t>
            </w:r>
          </w:p>
        </w:tc>
        <w:tc>
          <w:tcPr>
            <w:tcW w:w="855" w:type="dxa"/>
            <w:shd w:val="clear" w:color="auto" w:fill="auto"/>
            <w:noWrap/>
            <w:tcMar>
              <w:left w:w="28" w:type="dxa"/>
              <w:right w:w="28" w:type="dxa"/>
            </w:tcMar>
            <w:vAlign w:val="bottom"/>
          </w:tcPr>
          <w:p w:rsidR="00D2095D" w:rsidRPr="00EA0FB6" w:rsidRDefault="00D2095D" w:rsidP="00A33F8B">
            <w:pPr>
              <w:jc w:val="center"/>
              <w:rPr>
                <w:sz w:val="20"/>
                <w:szCs w:val="20"/>
              </w:rPr>
            </w:pPr>
            <w:r w:rsidRPr="00EA0FB6">
              <w:rPr>
                <w:sz w:val="20"/>
                <w:szCs w:val="20"/>
              </w:rPr>
              <w:t>5=3x4</w:t>
            </w:r>
          </w:p>
        </w:tc>
        <w:tc>
          <w:tcPr>
            <w:tcW w:w="1133" w:type="dxa"/>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6=2x5</w:t>
            </w:r>
          </w:p>
        </w:tc>
        <w:tc>
          <w:tcPr>
            <w:tcW w:w="1130" w:type="dxa"/>
            <w:shd w:val="clear" w:color="auto" w:fill="auto"/>
            <w:tcMar>
              <w:left w:w="28" w:type="dxa"/>
              <w:right w:w="28" w:type="dxa"/>
            </w:tcMar>
            <w:vAlign w:val="center"/>
          </w:tcPr>
          <w:p w:rsidR="00D2095D" w:rsidRPr="00EA0FB6" w:rsidRDefault="00D2095D" w:rsidP="00A33F8B">
            <w:pPr>
              <w:jc w:val="center"/>
              <w:rPr>
                <w:sz w:val="20"/>
                <w:szCs w:val="20"/>
              </w:rPr>
            </w:pPr>
            <w:r w:rsidRPr="00EA0FB6">
              <w:rPr>
                <w:sz w:val="20"/>
                <w:szCs w:val="20"/>
              </w:rPr>
              <w:t>7=2x3</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974076" w:rsidP="00A33F8B">
            <w:pPr>
              <w:rPr>
                <w:bCs/>
                <w:sz w:val="20"/>
                <w:szCs w:val="20"/>
              </w:rPr>
            </w:pPr>
            <w:r>
              <w:rPr>
                <w:bCs/>
                <w:sz w:val="20"/>
                <w:szCs w:val="20"/>
              </w:rPr>
              <w:t>Basic</w:t>
            </w:r>
            <w:r w:rsidR="00D2095D" w:rsidRPr="00EA0FB6">
              <w:rPr>
                <w:bCs/>
                <w:sz w:val="20"/>
                <w:szCs w:val="20"/>
              </w:rPr>
              <w:t xml:space="preserve"> consumer price index</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1.008753</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bCs/>
                <w:sz w:val="20"/>
                <w:szCs w:val="20"/>
              </w:rPr>
            </w:pPr>
            <w:r w:rsidRPr="00EA0FB6">
              <w:rPr>
                <w:bCs/>
                <w:sz w:val="20"/>
                <w:szCs w:val="20"/>
              </w:rPr>
              <w:t>Goods and services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14</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0.93565</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1.00000</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1.563421</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1.008753</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1.577106</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1.57710621</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1.56342102</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974076" w:rsidP="00A33F8B">
            <w:pPr>
              <w:rPr>
                <w:sz w:val="20"/>
                <w:szCs w:val="20"/>
              </w:rPr>
            </w:pPr>
            <w:r>
              <w:rPr>
                <w:sz w:val="20"/>
                <w:szCs w:val="20"/>
              </w:rPr>
              <w:t>Food products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0.35252</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0.37680</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1.627681</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1.012975</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1.648800</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0.62126780</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0.61331021</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Non-food products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0.29095</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0.31101</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1.406034</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1.004665</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1.412593</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0.43933063</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0.43729061</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Paid services for the population</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19</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0.29218</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0.31219</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1.642654</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1.007191</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1.654466</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0.51650778</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0.51282020</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bCs/>
                <w:sz w:val="20"/>
                <w:szCs w:val="20"/>
              </w:rPr>
              <w:t>Bakery products and cereals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0.07302</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0.07804</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1.657502</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1.022447</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1.694707</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0.13225496</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0.12935147</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Flour</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011121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0.00911</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0.00974</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1.514634</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1.039968</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1.575171</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0.01534217</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0.01475254</w:t>
            </w:r>
          </w:p>
        </w:tc>
      </w:tr>
      <w:tr w:rsidR="00D2095D" w:rsidRPr="00EA0FB6" w:rsidTr="00A33F8B">
        <w:trPr>
          <w:trHeight w:val="20"/>
        </w:trPr>
        <w:tc>
          <w:tcPr>
            <w:tcW w:w="1998" w:type="dxa"/>
            <w:shd w:val="clear" w:color="auto" w:fill="auto"/>
            <w:tcMar>
              <w:left w:w="28" w:type="dxa"/>
              <w:right w:w="28" w:type="dxa"/>
            </w:tcMar>
            <w:vAlign w:val="bottom"/>
          </w:tcPr>
          <w:p w:rsidR="00D2095D" w:rsidRPr="00EA0FB6" w:rsidRDefault="00D2095D" w:rsidP="00A33F8B">
            <w:pPr>
              <w:rPr>
                <w:sz w:val="20"/>
                <w:szCs w:val="20"/>
              </w:rPr>
            </w:pPr>
            <w:r w:rsidRPr="00EA0FB6">
              <w:rPr>
                <w:sz w:val="20"/>
                <w:szCs w:val="20"/>
              </w:rPr>
              <w:t>Wheat flour of the highest grade</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01112101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0.00365</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0.00390</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1.591084</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1.037838</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1.651287</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0.00644002</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0.00620523</w:t>
            </w:r>
          </w:p>
        </w:tc>
      </w:tr>
      <w:tr w:rsidR="00D2095D" w:rsidRPr="00EA0FB6" w:rsidTr="00A33F8B">
        <w:trPr>
          <w:trHeight w:val="20"/>
        </w:trPr>
        <w:tc>
          <w:tcPr>
            <w:tcW w:w="1998" w:type="dxa"/>
            <w:shd w:val="clear" w:color="auto" w:fill="auto"/>
            <w:tcMar>
              <w:left w:w="28" w:type="dxa"/>
              <w:right w:w="28" w:type="dxa"/>
            </w:tcMar>
            <w:vAlign w:val="bottom"/>
          </w:tcPr>
          <w:p w:rsidR="00D2095D" w:rsidRPr="00EA0FB6" w:rsidRDefault="00D2095D" w:rsidP="00A33F8B">
            <w:pPr>
              <w:rPr>
                <w:sz w:val="20"/>
                <w:szCs w:val="20"/>
              </w:rPr>
            </w:pPr>
            <w:r w:rsidRPr="00EA0FB6">
              <w:rPr>
                <w:sz w:val="20"/>
                <w:szCs w:val="20"/>
              </w:rPr>
              <w:t>Wheat flour of the first grade</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01112102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0.00546</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0.00584</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1.463581</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1.041514</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1.524340</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0.00890215</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0.00854731</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Fruits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0.01681</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0.00375</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1.735731</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1.004501</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1.743547</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0.00653830</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0.00650900</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Fresh fruits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0.01330</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Apples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01161001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0.00480</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Grape</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01161002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0.00080</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Bananas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01161007</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0.00240</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oranges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01161008</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0.00257</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Lemons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01161009</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0.00140</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Pears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01161011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0.00098</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Kiwi</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01161017</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0.00035</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Fruits processed and canned</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01162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0.00351</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0.00375</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1.735731</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1.004501</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1.743547</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0.00653830</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0.00650900</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Vegetables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0.02693</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0.00300</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1.573177</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1.002464</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1.577053</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0.00473116</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0.00471953</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Fresh vegetables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0.01475</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Cabbage</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01171001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0.00240</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Bulb onions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01171002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0.00249</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Beet</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01171003</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0.00199</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Carrot</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01171004</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0.00222</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lastRenderedPageBreak/>
              <w:t>cucumbers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01171005</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0.00084</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Tomatoes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01171006</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0.00295</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Garlic</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01171008</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0.00057</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Sweet pepper</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01171010</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0.00089</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Cauliflower</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01171018</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0.00040</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Potatoes and other tubers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0.00938</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Potato</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01172001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0.00938</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Vegetables processed and canned</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01174</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0.00280</w:t>
            </w:r>
          </w:p>
        </w:tc>
        <w:tc>
          <w:tcPr>
            <w:tcW w:w="851"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0.00300</w:t>
            </w:r>
          </w:p>
        </w:tc>
        <w:tc>
          <w:tcPr>
            <w:tcW w:w="850" w:type="dxa"/>
            <w:gridSpan w:val="2"/>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1.573177</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1.002464</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1.577053</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0.00473116</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0.00471953</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solid fuel</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0454</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0.00703</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0.00247</w:t>
            </w: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1.725189</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1.015183</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1.751383</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0.00432591</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0.00426122</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Coal</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04540001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0.00472</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Firewood</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04540002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0.00231</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0.00247</w:t>
            </w: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1.725189</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1.015183</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1.751383</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0.00432591</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0.00426122</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Fuels and lubricants for personal vehicles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0722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0.02542</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0.00344</w:t>
            </w: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1.382677</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1.029022</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1.422805</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0.00489445</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0.00475641</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Petrol</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07221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0.02220</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Gasoline AI-98</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07221001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0.00455</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Gasoline AI-92</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07221005</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0.01117</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Gasoline AI-95, AI-96</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07221007</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0.00648</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Other fuels and lubricants</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07222</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0.00322</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0.00344</w:t>
            </w: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1.382677</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1.029022</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1.422805</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0.00489445</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0.00475641</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Diesel fuel</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07222001</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0.00287</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0.00307</w:t>
            </w: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1.377073</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1.028888</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1.416854</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0.00434974</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0.00422761</w:t>
            </w:r>
          </w:p>
        </w:tc>
      </w:tr>
      <w:tr w:rsidR="00D2095D" w:rsidRPr="00EA0FB6" w:rsidTr="00A33F8B">
        <w:trPr>
          <w:trHeight w:val="20"/>
        </w:trPr>
        <w:tc>
          <w:tcPr>
            <w:tcW w:w="1998"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Engine oil</w:t>
            </w:r>
          </w:p>
        </w:tc>
        <w:tc>
          <w:tcPr>
            <w:tcW w:w="990" w:type="dxa"/>
            <w:shd w:val="clear" w:color="auto" w:fill="auto"/>
            <w:noWrap/>
            <w:tcMar>
              <w:left w:w="28" w:type="dxa"/>
              <w:right w:w="28" w:type="dxa"/>
            </w:tcMar>
            <w:vAlign w:val="bottom"/>
          </w:tcPr>
          <w:p w:rsidR="00D2095D" w:rsidRPr="00EA0FB6" w:rsidRDefault="00D2095D" w:rsidP="00A33F8B">
            <w:pPr>
              <w:rPr>
                <w:sz w:val="20"/>
                <w:szCs w:val="20"/>
              </w:rPr>
            </w:pPr>
            <w:r w:rsidRPr="00EA0FB6">
              <w:rPr>
                <w:sz w:val="20"/>
                <w:szCs w:val="20"/>
              </w:rPr>
              <w:t>07222004</w:t>
            </w:r>
          </w:p>
        </w:tc>
        <w:tc>
          <w:tcPr>
            <w:tcW w:w="855" w:type="dxa"/>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0.00035</w:t>
            </w:r>
          </w:p>
        </w:tc>
        <w:tc>
          <w:tcPr>
            <w:tcW w:w="884" w:type="dxa"/>
            <w:gridSpan w:val="2"/>
            <w:shd w:val="clear" w:color="auto" w:fill="auto"/>
            <w:tcMar>
              <w:left w:w="28" w:type="dxa"/>
              <w:right w:w="28" w:type="dxa"/>
            </w:tcMar>
            <w:vAlign w:val="bottom"/>
          </w:tcPr>
          <w:p w:rsidR="00D2095D" w:rsidRPr="00EA0FB6" w:rsidRDefault="00D2095D" w:rsidP="00A33F8B">
            <w:pPr>
              <w:jc w:val="right"/>
              <w:rPr>
                <w:sz w:val="20"/>
                <w:szCs w:val="20"/>
              </w:rPr>
            </w:pPr>
            <w:r w:rsidRPr="00EA0FB6">
              <w:rPr>
                <w:sz w:val="20"/>
                <w:szCs w:val="20"/>
              </w:rPr>
              <w:t>0.00037</w:t>
            </w:r>
          </w:p>
        </w:tc>
        <w:tc>
          <w:tcPr>
            <w:tcW w:w="817"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1.429192</w:t>
            </w:r>
          </w:p>
        </w:tc>
        <w:tc>
          <w:tcPr>
            <w:tcW w:w="992"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1.030078</w:t>
            </w:r>
          </w:p>
        </w:tc>
        <w:tc>
          <w:tcPr>
            <w:tcW w:w="855"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1.472179</w:t>
            </w:r>
          </w:p>
        </w:tc>
        <w:tc>
          <w:tcPr>
            <w:tcW w:w="1133"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0.00054471</w:t>
            </w:r>
          </w:p>
        </w:tc>
        <w:tc>
          <w:tcPr>
            <w:tcW w:w="1130" w:type="dxa"/>
            <w:shd w:val="clear" w:color="auto" w:fill="auto"/>
            <w:noWrap/>
            <w:tcMar>
              <w:left w:w="28" w:type="dxa"/>
              <w:right w:w="28" w:type="dxa"/>
            </w:tcMar>
            <w:vAlign w:val="bottom"/>
          </w:tcPr>
          <w:p w:rsidR="00D2095D" w:rsidRPr="00EA0FB6" w:rsidRDefault="00D2095D" w:rsidP="00A33F8B">
            <w:pPr>
              <w:jc w:val="right"/>
              <w:rPr>
                <w:sz w:val="20"/>
                <w:szCs w:val="20"/>
              </w:rPr>
            </w:pPr>
            <w:r w:rsidRPr="00EA0FB6">
              <w:rPr>
                <w:sz w:val="20"/>
                <w:szCs w:val="20"/>
              </w:rPr>
              <w:t>0.00052880</w:t>
            </w:r>
          </w:p>
        </w:tc>
      </w:tr>
    </w:tbl>
    <w:p w:rsidR="00D2095D" w:rsidRPr="007235DD" w:rsidRDefault="00D2095D" w:rsidP="00D2095D">
      <w:pPr>
        <w:pStyle w:val="23"/>
        <w:spacing w:before="120" w:after="0" w:line="240" w:lineRule="auto"/>
        <w:ind w:left="0" w:firstLine="709"/>
      </w:pPr>
      <w:r w:rsidRPr="007235DD">
        <w:t xml:space="preserve">The procedure for calculating the basic consumer price index </w:t>
      </w:r>
      <w:r w:rsidRPr="007235DD">
        <w:rPr>
          <w:bCs/>
        </w:rPr>
        <w:t xml:space="preserve">without taking into account three components </w:t>
      </w:r>
      <w:r w:rsidRPr="007235DD">
        <w:t>:</w:t>
      </w:r>
    </w:p>
    <w:p w:rsidR="00D2095D" w:rsidRPr="007235DD" w:rsidRDefault="00D2095D" w:rsidP="00D2095D">
      <w:pPr>
        <w:pStyle w:val="23"/>
        <w:spacing w:after="0" w:line="240" w:lineRule="auto"/>
        <w:ind w:left="0" w:firstLine="709"/>
        <w:jc w:val="both"/>
      </w:pPr>
      <w:r w:rsidRPr="007235DD">
        <w:t>1) with the exception of fresh fruits and vegetables, gasoline, coal, their share and price changes are conventionally assumed to be equal to zero;</w:t>
      </w:r>
    </w:p>
    <w:p w:rsidR="00D2095D" w:rsidRPr="007235DD" w:rsidRDefault="00D2095D" w:rsidP="00D2095D">
      <w:pPr>
        <w:pStyle w:val="23"/>
        <w:spacing w:after="0" w:line="240" w:lineRule="auto"/>
        <w:ind w:left="0" w:firstLine="709"/>
        <w:jc w:val="both"/>
      </w:pPr>
      <w:r w:rsidRPr="007235DD">
        <w:t xml:space="preserve">2) after the exclusion of the above positions, the total weight of the remaining goods and services is </w:t>
      </w:r>
      <w:r w:rsidRPr="007235DD">
        <w:rPr>
          <w:snapToGrid w:val="0"/>
          <w:position w:val="-12"/>
        </w:rPr>
        <w:object w:dxaOrig="2260" w:dyaOrig="380">
          <v:shape id="_x0000_i1074" type="#_x0000_t75" style="width:77pt;height:12.5pt" o:ole="" fillcolor="window">
            <v:imagedata r:id="rId94" o:title=""/>
          </v:shape>
          <o:OLEObject Type="Embed" ProgID="Equation.3" ShapeID="_x0000_i1074" DrawAspect="Content" ObjectID="_1745396381" r:id="rId95"/>
        </w:object>
      </w:r>
      <w:r w:rsidRPr="007235DD">
        <w:t xml:space="preserve">. The weights are normalized using the normalization factor: </w:t>
      </w:r>
      <w:r w:rsidRPr="007235DD">
        <w:rPr>
          <w:position w:val="-30"/>
        </w:rPr>
        <w:object w:dxaOrig="1760" w:dyaOrig="800">
          <v:shape id="_x0000_i1075" type="#_x0000_t75" style="width:65.5pt;height:27pt" o:ole="" fillcolor="window">
            <v:imagedata r:id="rId96" o:title=""/>
          </v:shape>
          <o:OLEObject Type="Embed" ProgID="Equation.3" ShapeID="_x0000_i1075" DrawAspect="Content" ObjectID="_1745396382" r:id="rId97"/>
        </w:object>
      </w:r>
      <w:r w:rsidRPr="007235DD">
        <w:t>. Given its normalized weight (column 2) by position:</w:t>
      </w:r>
    </w:p>
    <w:p w:rsidR="00D2095D" w:rsidRPr="007235DD" w:rsidRDefault="00D2095D" w:rsidP="00D2095D">
      <w:pPr>
        <w:pStyle w:val="23"/>
        <w:spacing w:after="0" w:line="240" w:lineRule="auto"/>
        <w:ind w:left="0" w:firstLine="709"/>
      </w:pPr>
      <w:r w:rsidRPr="007235DD">
        <w:t>premium flour</w:t>
      </w:r>
      <w:r w:rsidRPr="007235DD">
        <w:tab/>
      </w:r>
      <w:r w:rsidRPr="007235DD">
        <w:tab/>
      </w:r>
      <w:r w:rsidRPr="007235DD">
        <w:rPr>
          <w:position w:val="-26"/>
        </w:rPr>
        <w:object w:dxaOrig="2860" w:dyaOrig="639">
          <v:shape id="_x0000_i1076" type="#_x0000_t75" style="width:124.5pt;height:25pt" o:ole="" fillcolor="window">
            <v:imagedata r:id="rId98" o:title=""/>
          </v:shape>
          <o:OLEObject Type="Embed" ProgID="Equation.3" ShapeID="_x0000_i1076" DrawAspect="Content" ObjectID="_1745396383" r:id="rId99"/>
        </w:object>
      </w:r>
    </w:p>
    <w:p w:rsidR="00D2095D" w:rsidRPr="007235DD" w:rsidRDefault="00D2095D" w:rsidP="00D2095D">
      <w:pPr>
        <w:pStyle w:val="23"/>
        <w:spacing w:after="0" w:line="240" w:lineRule="auto"/>
        <w:ind w:left="0" w:firstLine="709"/>
      </w:pPr>
      <w:r w:rsidRPr="007235DD">
        <w:t>flour of the first grade</w:t>
      </w:r>
      <w:r w:rsidRPr="007235DD">
        <w:tab/>
      </w:r>
      <w:r w:rsidRPr="007235DD">
        <w:tab/>
      </w:r>
      <w:r w:rsidRPr="007235DD">
        <w:rPr>
          <w:position w:val="-26"/>
        </w:rPr>
        <w:object w:dxaOrig="2860" w:dyaOrig="639">
          <v:shape id="_x0000_i1077" type="#_x0000_t75" style="width:121.5pt;height:24.5pt" o:ole="" fillcolor="window">
            <v:imagedata r:id="rId100" o:title=""/>
          </v:shape>
          <o:OLEObject Type="Embed" ProgID="Equation.3" ShapeID="_x0000_i1077" DrawAspect="Content" ObjectID="_1745396384" r:id="rId101"/>
        </w:object>
      </w:r>
    </w:p>
    <w:p w:rsidR="00D2095D" w:rsidRPr="007235DD" w:rsidRDefault="00D2095D" w:rsidP="00D2095D">
      <w:pPr>
        <w:pStyle w:val="23"/>
        <w:spacing w:after="0" w:line="240" w:lineRule="auto"/>
        <w:ind w:left="0" w:firstLine="709"/>
      </w:pPr>
      <w:r w:rsidRPr="007235DD">
        <w:t>flour group</w:t>
      </w:r>
      <w:r w:rsidRPr="007235DD">
        <w:tab/>
      </w:r>
      <w:r w:rsidRPr="007235DD">
        <w:tab/>
      </w:r>
      <w:r w:rsidRPr="007235DD">
        <w:rPr>
          <w:position w:val="-10"/>
        </w:rPr>
        <w:object w:dxaOrig="2860" w:dyaOrig="320">
          <v:shape id="_x0000_i1078" type="#_x0000_t75" style="width:109pt;height:13.5pt" o:ole="" fillcolor="window">
            <v:imagedata r:id="rId102" o:title=""/>
          </v:shape>
          <o:OLEObject Type="Embed" ProgID="Equation.3" ShapeID="_x0000_i1078" DrawAspect="Content" ObjectID="_1745396385" r:id="rId103"/>
        </w:object>
      </w:r>
    </w:p>
    <w:p w:rsidR="00D2095D" w:rsidRPr="007235DD" w:rsidRDefault="00D2095D" w:rsidP="00D2095D">
      <w:pPr>
        <w:pStyle w:val="23"/>
        <w:spacing w:after="0" w:line="240" w:lineRule="auto"/>
        <w:ind w:left="0" w:firstLine="709"/>
        <w:jc w:val="both"/>
      </w:pPr>
      <w:r w:rsidRPr="007235DD">
        <w:t>3) data on the long-term relative price for the previous month (column 3) are transferred from the calculation of the consumer price index. To determine, as in the corresponding calculation of the consumer price index, the short-term price relative (columns 4 and 5), taking into account the normalized weight, are calculated:</w:t>
      </w:r>
    </w:p>
    <w:p w:rsidR="00D2095D" w:rsidRPr="007235DD" w:rsidRDefault="00D2095D" w:rsidP="00D2095D">
      <w:pPr>
        <w:pStyle w:val="23"/>
        <w:spacing w:after="0" w:line="240" w:lineRule="auto"/>
        <w:ind w:left="0" w:firstLine="709"/>
      </w:pPr>
      <w:r w:rsidRPr="007235DD">
        <w:t xml:space="preserve">a) structural price relative of the previous month to December of the base year (column 7) by position lines: column 7 = column 2 </w:t>
      </w:r>
      <w:r w:rsidRPr="007235DD">
        <w:rPr>
          <w:lang w:val="kk-KZ"/>
        </w:rPr>
        <w:t xml:space="preserve">x </w:t>
      </w:r>
      <w:r w:rsidRPr="007235DD">
        <w:t>column 3</w:t>
      </w:r>
    </w:p>
    <w:p w:rsidR="00D2095D" w:rsidRPr="007235DD" w:rsidRDefault="00D2095D" w:rsidP="00D2095D">
      <w:pPr>
        <w:pStyle w:val="23"/>
        <w:spacing w:after="0" w:line="240" w:lineRule="auto"/>
        <w:ind w:left="0" w:firstLine="709"/>
      </w:pPr>
      <w:r w:rsidRPr="007235DD">
        <w:t xml:space="preserve">for premium flour </w:t>
      </w:r>
      <w:r w:rsidRPr="007235DD">
        <w:tab/>
        <w:t xml:space="preserve">0.00390 </w:t>
      </w:r>
      <w:r w:rsidRPr="007235DD">
        <w:rPr>
          <w:lang w:val="kk-KZ"/>
        </w:rPr>
        <w:t xml:space="preserve">x </w:t>
      </w:r>
      <w:r w:rsidRPr="007235DD">
        <w:t>1.591084 = 0.00620523</w:t>
      </w:r>
    </w:p>
    <w:p w:rsidR="00D2095D" w:rsidRPr="007235DD" w:rsidRDefault="00D2095D" w:rsidP="00D2095D">
      <w:pPr>
        <w:pStyle w:val="23"/>
        <w:spacing w:after="0" w:line="240" w:lineRule="auto"/>
        <w:ind w:left="0" w:firstLine="709"/>
      </w:pPr>
      <w:r w:rsidRPr="007235DD">
        <w:t xml:space="preserve">for flour of the first grade </w:t>
      </w:r>
      <w:r w:rsidRPr="007235DD">
        <w:tab/>
      </w:r>
      <w:r w:rsidRPr="007235DD">
        <w:tab/>
        <w:t xml:space="preserve">0.00584 </w:t>
      </w:r>
      <w:r w:rsidRPr="007235DD">
        <w:rPr>
          <w:lang w:val="kk-KZ"/>
        </w:rPr>
        <w:t xml:space="preserve">x </w:t>
      </w:r>
      <w:r w:rsidRPr="007235DD">
        <w:t>1.463581 = 0.00854731</w:t>
      </w:r>
    </w:p>
    <w:p w:rsidR="00D2095D" w:rsidRPr="007235DD" w:rsidRDefault="00D2095D" w:rsidP="00D2095D">
      <w:pPr>
        <w:pStyle w:val="23"/>
        <w:spacing w:after="0" w:line="240" w:lineRule="auto"/>
        <w:ind w:left="0" w:firstLine="709"/>
      </w:pPr>
      <w:r w:rsidRPr="007235DD">
        <w:t xml:space="preserve">b) structural price relative of the reporting month to December of the base year (column 6) by position lines: column 6 = column 2 </w:t>
      </w:r>
      <w:r w:rsidRPr="007235DD">
        <w:rPr>
          <w:lang w:val="kk-KZ"/>
        </w:rPr>
        <w:t xml:space="preserve">x </w:t>
      </w:r>
      <w:r w:rsidRPr="007235DD">
        <w:t>column 5</w:t>
      </w:r>
    </w:p>
    <w:p w:rsidR="00D2095D" w:rsidRPr="007235DD" w:rsidRDefault="00D2095D" w:rsidP="00D2095D">
      <w:pPr>
        <w:pStyle w:val="23"/>
        <w:spacing w:after="0" w:line="240" w:lineRule="auto"/>
        <w:ind w:left="0" w:firstLine="709"/>
      </w:pPr>
      <w:r w:rsidRPr="007235DD">
        <w:t xml:space="preserve">for premium flour </w:t>
      </w:r>
      <w:r w:rsidRPr="007235DD">
        <w:tab/>
        <w:t xml:space="preserve">0.00390 </w:t>
      </w:r>
      <w:r w:rsidRPr="007235DD">
        <w:rPr>
          <w:lang w:val="kk-KZ"/>
        </w:rPr>
        <w:t xml:space="preserve">x </w:t>
      </w:r>
      <w:r w:rsidRPr="007235DD">
        <w:t>1.651287 = 0.00644002</w:t>
      </w:r>
    </w:p>
    <w:p w:rsidR="00D2095D" w:rsidRPr="007235DD" w:rsidRDefault="00D2095D" w:rsidP="00D2095D">
      <w:pPr>
        <w:pStyle w:val="23"/>
        <w:spacing w:after="0" w:line="240" w:lineRule="auto"/>
        <w:ind w:left="0" w:firstLine="709"/>
      </w:pPr>
      <w:r w:rsidRPr="007235DD">
        <w:t xml:space="preserve">for flour of the first grade </w:t>
      </w:r>
      <w:r w:rsidRPr="007235DD">
        <w:tab/>
      </w:r>
      <w:r w:rsidRPr="007235DD">
        <w:tab/>
        <w:t xml:space="preserve">0.00584 </w:t>
      </w:r>
      <w:r w:rsidRPr="007235DD">
        <w:rPr>
          <w:lang w:val="kk-KZ"/>
        </w:rPr>
        <w:t xml:space="preserve">x </w:t>
      </w:r>
      <w:r w:rsidRPr="007235DD">
        <w:t>1.524340 = 0.00890215</w:t>
      </w:r>
    </w:p>
    <w:p w:rsidR="00D2095D" w:rsidRPr="007235DD" w:rsidRDefault="00D2095D" w:rsidP="00D2095D">
      <w:pPr>
        <w:pStyle w:val="23"/>
        <w:spacing w:after="0" w:line="240" w:lineRule="auto"/>
        <w:ind w:left="0" w:firstLine="709"/>
        <w:jc w:val="both"/>
      </w:pPr>
      <w:r w:rsidRPr="007235DD">
        <w:t>c) structural relative prices by type of subclass, subclass, class, group, section are determined sequentially by summing their components.</w:t>
      </w:r>
    </w:p>
    <w:p w:rsidR="00D2095D" w:rsidRPr="007235DD" w:rsidRDefault="00D2095D" w:rsidP="00D2095D">
      <w:pPr>
        <w:pStyle w:val="23"/>
        <w:spacing w:after="0" w:line="240" w:lineRule="auto"/>
        <w:ind w:left="0" w:firstLine="709"/>
        <w:jc w:val="both"/>
      </w:pPr>
      <w:r w:rsidRPr="007235DD">
        <w:t>For example, structural relative prices (columns 6 and 7) for a part of a subclass (level 5) are calculated as the sum of the position lines included in it (level 6).</w:t>
      </w:r>
    </w:p>
    <w:p w:rsidR="00D2095D" w:rsidRPr="007235DD" w:rsidRDefault="00D2095D" w:rsidP="00D2095D">
      <w:pPr>
        <w:pStyle w:val="23"/>
        <w:spacing w:after="0" w:line="240" w:lineRule="auto"/>
        <w:ind w:left="0" w:firstLine="709"/>
        <w:jc w:val="both"/>
      </w:pPr>
      <w:r w:rsidRPr="007235DD">
        <w:t xml:space="preserve">column 6 for flour </w:t>
      </w:r>
      <w:r w:rsidRPr="007235DD">
        <w:tab/>
        <w:t>0.00644002 + 0.00890215 = 0.01534217</w:t>
      </w:r>
    </w:p>
    <w:p w:rsidR="00D2095D" w:rsidRPr="007235DD" w:rsidRDefault="00D2095D" w:rsidP="00D2095D">
      <w:pPr>
        <w:pStyle w:val="23"/>
        <w:spacing w:after="0" w:line="240" w:lineRule="auto"/>
        <w:ind w:left="0" w:firstLine="709"/>
        <w:jc w:val="both"/>
      </w:pPr>
      <w:r w:rsidRPr="007235DD">
        <w:lastRenderedPageBreak/>
        <w:t xml:space="preserve">column 7 for flour </w:t>
      </w:r>
      <w:r w:rsidRPr="007235DD">
        <w:tab/>
        <w:t>0.00620523+0.00854731 = 0.01475254</w:t>
      </w:r>
    </w:p>
    <w:p w:rsidR="00D2095D" w:rsidRPr="007235DD" w:rsidRDefault="00D2095D" w:rsidP="00D2095D">
      <w:pPr>
        <w:pStyle w:val="23"/>
        <w:spacing w:after="0" w:line="240" w:lineRule="auto"/>
        <w:ind w:left="0" w:firstLine="709"/>
        <w:jc w:val="both"/>
      </w:pPr>
      <w:r w:rsidRPr="007235DD">
        <w:t>4) the relative price for group lines is calculated by dividing the structural long-term by December of the base year:</w:t>
      </w:r>
    </w:p>
    <w:p w:rsidR="00D2095D" w:rsidRPr="007235DD" w:rsidRDefault="00D2095D" w:rsidP="00D2095D">
      <w:pPr>
        <w:pStyle w:val="23"/>
        <w:spacing w:after="0" w:line="240" w:lineRule="auto"/>
        <w:ind w:left="0" w:firstLine="709"/>
        <w:jc w:val="both"/>
      </w:pPr>
      <w:r w:rsidRPr="007235DD">
        <w:t>of the reporting month to the previous month column 4 = column 6 / column 7</w:t>
      </w:r>
    </w:p>
    <w:p w:rsidR="00D2095D" w:rsidRPr="007235DD" w:rsidRDefault="00D2095D" w:rsidP="00D2095D">
      <w:pPr>
        <w:pStyle w:val="23"/>
        <w:spacing w:after="0" w:line="240" w:lineRule="auto"/>
        <w:ind w:left="0" w:firstLine="709"/>
        <w:jc w:val="both"/>
      </w:pPr>
      <w:r w:rsidRPr="007235DD">
        <w:t xml:space="preserve">flour </w:t>
      </w:r>
      <w:r w:rsidRPr="007235DD">
        <w:tab/>
        <w:t>0.01534217 / 0.01475254 = 1.039968</w:t>
      </w:r>
    </w:p>
    <w:p w:rsidR="00D2095D" w:rsidRPr="007235DD" w:rsidRDefault="00D2095D" w:rsidP="00D2095D">
      <w:pPr>
        <w:pStyle w:val="23"/>
        <w:spacing w:after="0" w:line="240" w:lineRule="auto"/>
        <w:ind w:left="0" w:firstLine="709"/>
        <w:jc w:val="both"/>
      </w:pPr>
      <w:r w:rsidRPr="007235DD">
        <w:t>by December of the base year - Column 5 = Column 6 / Column 2</w:t>
      </w:r>
    </w:p>
    <w:p w:rsidR="00D2095D" w:rsidRPr="0064699F" w:rsidRDefault="00D2095D" w:rsidP="00D2095D">
      <w:pPr>
        <w:pStyle w:val="23"/>
        <w:spacing w:before="120" w:after="0" w:line="240" w:lineRule="auto"/>
        <w:ind w:left="0" w:firstLine="709"/>
        <w:rPr>
          <w:sz w:val="22"/>
          <w:szCs w:val="22"/>
        </w:rPr>
      </w:pPr>
      <w:r w:rsidRPr="007235DD">
        <w:t xml:space="preserve">for flour </w:t>
      </w:r>
      <w:r w:rsidRPr="007235DD">
        <w:tab/>
      </w:r>
      <w:r>
        <w:t>0.01534217 / 0.00974 = 1.575171</w:t>
      </w:r>
      <w:r w:rsidRPr="0064699F">
        <w:rPr>
          <w:sz w:val="22"/>
          <w:szCs w:val="22"/>
        </w:rPr>
        <w:t xml:space="preserve"> </w:t>
      </w:r>
    </w:p>
    <w:p w:rsidR="00DA2120" w:rsidRDefault="00DA2120"/>
    <w:sectPr w:rsidR="00DA2120" w:rsidSect="0044503C">
      <w:headerReference w:type="even" r:id="rId104"/>
      <w:headerReference w:type="default" r:id="rId105"/>
      <w:footerReference w:type="even" r:id="rId106"/>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7C" w:rsidRDefault="00FD547C">
      <w:r>
        <w:separator/>
      </w:r>
    </w:p>
  </w:endnote>
  <w:endnote w:type="continuationSeparator" w:id="0">
    <w:p w:rsidR="00FD547C" w:rsidRDefault="00F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9E" w:rsidRDefault="00D2095D" w:rsidP="0027123A">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37249E" w:rsidRDefault="00FD54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7C" w:rsidRDefault="00FD547C">
      <w:r>
        <w:separator/>
      </w:r>
    </w:p>
  </w:footnote>
  <w:footnote w:type="continuationSeparator" w:id="0">
    <w:p w:rsidR="00FD547C" w:rsidRDefault="00FD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9E" w:rsidRDefault="00D2095D" w:rsidP="001F0FB8">
    <w:pPr>
      <w:pStyle w:val="af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37249E" w:rsidRDefault="00FD547C">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9E" w:rsidRPr="0044503C" w:rsidRDefault="00D2095D" w:rsidP="001F0FB8">
    <w:pPr>
      <w:pStyle w:val="af6"/>
      <w:framePr w:wrap="around" w:vAnchor="text" w:hAnchor="margin" w:xAlign="center" w:y="1"/>
      <w:rPr>
        <w:rStyle w:val="af4"/>
        <w:lang w:val="kk-KZ"/>
      </w:rPr>
    </w:pPr>
    <w:r w:rsidRPr="00872B6D">
      <w:rPr>
        <w:rStyle w:val="af4"/>
      </w:rPr>
      <w:fldChar w:fldCharType="begin"/>
    </w:r>
    <w:r w:rsidRPr="00872B6D">
      <w:rPr>
        <w:rStyle w:val="af4"/>
      </w:rPr>
      <w:instrText xml:space="preserve">PAGE  </w:instrText>
    </w:r>
    <w:r w:rsidRPr="00872B6D">
      <w:rPr>
        <w:rStyle w:val="af4"/>
      </w:rPr>
      <w:fldChar w:fldCharType="separate"/>
    </w:r>
    <w:r w:rsidR="00974076">
      <w:rPr>
        <w:rStyle w:val="af4"/>
        <w:noProof/>
      </w:rPr>
      <w:t>13</w:t>
    </w:r>
    <w:r w:rsidRPr="00872B6D">
      <w:rPr>
        <w:rStyle w:val="af4"/>
      </w:rPr>
      <w:fldChar w:fldCharType="end"/>
    </w:r>
  </w:p>
  <w:p w:rsidR="0037249E" w:rsidRDefault="00FD547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A81"/>
    <w:multiLevelType w:val="multilevel"/>
    <w:tmpl w:val="FF60CB1A"/>
    <w:lvl w:ilvl="0">
      <w:start w:val="5"/>
      <w:numFmt w:val="decimal"/>
      <w:lvlText w:val="%1"/>
      <w:lvlJc w:val="left"/>
      <w:pPr>
        <w:ind w:left="375" w:hanging="375"/>
      </w:pPr>
      <w:rPr>
        <w:rFonts w:hint="default"/>
      </w:rPr>
    </w:lvl>
    <w:lvl w:ilvl="1">
      <w:start w:val="2"/>
      <w:numFmt w:val="decimal"/>
      <w:lvlText w:val="%1.%2"/>
      <w:lvlJc w:val="left"/>
      <w:pPr>
        <w:ind w:left="2209" w:hanging="375"/>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444" w:hanging="144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1" w15:restartNumberingAfterBreak="0">
    <w:nsid w:val="01BA682D"/>
    <w:multiLevelType w:val="hybridMultilevel"/>
    <w:tmpl w:val="A6DE0976"/>
    <w:lvl w:ilvl="0" w:tplc="CE52D3AC">
      <w:start w:val="8"/>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30C75"/>
    <w:multiLevelType w:val="hybridMultilevel"/>
    <w:tmpl w:val="3E76A794"/>
    <w:lvl w:ilvl="0" w:tplc="A93A8F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70AAB"/>
    <w:multiLevelType w:val="multilevel"/>
    <w:tmpl w:val="8E6EABA8"/>
    <w:lvl w:ilvl="0">
      <w:start w:val="2"/>
      <w:numFmt w:val="decimal"/>
      <w:lvlText w:val="%1)"/>
      <w:lvlJc w:val="left"/>
      <w:pPr>
        <w:tabs>
          <w:tab w:val="num" w:pos="720"/>
        </w:tabs>
        <w:ind w:left="720" w:hanging="360"/>
      </w:pPr>
      <w:rPr>
        <w:rFonts w:hint="default"/>
      </w:rPr>
    </w:lvl>
    <w:lvl w:ilvl="1">
      <w:numFmt w:val="bullet"/>
      <w:lvlText w:val="-"/>
      <w:lvlJc w:val="left"/>
      <w:pPr>
        <w:ind w:left="1977" w:hanging="1410"/>
      </w:pPr>
      <w:rPr>
        <w:rFonts w:hint="default"/>
      </w:rPr>
    </w:lvl>
    <w:lvl w:ilvl="2">
      <w:start w:val="2"/>
      <w:numFmt w:val="decimal"/>
      <w:lvlText w:val="3.%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061918F1"/>
    <w:multiLevelType w:val="hybridMultilevel"/>
    <w:tmpl w:val="44E20FFA"/>
    <w:lvl w:ilvl="0" w:tplc="04190011">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5" w15:restartNumberingAfterBreak="0">
    <w:nsid w:val="0A225A89"/>
    <w:multiLevelType w:val="hybridMultilevel"/>
    <w:tmpl w:val="9EB4FF3A"/>
    <w:lvl w:ilvl="0" w:tplc="6386639C">
      <w:start w:val="1"/>
      <w:numFmt w:val="decimal"/>
      <w:lvlText w:val="%1)"/>
      <w:lvlJc w:val="left"/>
      <w:pPr>
        <w:ind w:left="4811"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500963"/>
    <w:multiLevelType w:val="hybridMultilevel"/>
    <w:tmpl w:val="00842D4A"/>
    <w:lvl w:ilvl="0" w:tplc="DDD4B1AE">
      <w:start w:val="14"/>
      <w:numFmt w:val="decimal"/>
      <w:lvlText w:val="%1."/>
      <w:lvlJc w:val="left"/>
      <w:pPr>
        <w:ind w:left="2295" w:hanging="375"/>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7" w15:restartNumberingAfterBreak="0">
    <w:nsid w:val="0C9C5F3A"/>
    <w:multiLevelType w:val="multilevel"/>
    <w:tmpl w:val="1D5A719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0D4675E4"/>
    <w:multiLevelType w:val="hybridMultilevel"/>
    <w:tmpl w:val="DA8CC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E384A"/>
    <w:multiLevelType w:val="multilevel"/>
    <w:tmpl w:val="A5C2ABE2"/>
    <w:lvl w:ilvl="0">
      <w:start w:val="1"/>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DEB337F"/>
    <w:multiLevelType w:val="multilevel"/>
    <w:tmpl w:val="9DBA7332"/>
    <w:lvl w:ilvl="0">
      <w:start w:val="1"/>
      <w:numFmt w:val="decimal"/>
      <w:lvlText w:val="%1)"/>
      <w:lvlJc w:val="left"/>
      <w:pPr>
        <w:tabs>
          <w:tab w:val="num" w:pos="720"/>
        </w:tabs>
        <w:ind w:left="720" w:hanging="360"/>
      </w:pPr>
      <w:rPr>
        <w:rFonts w:hint="default"/>
      </w:rPr>
    </w:lvl>
    <w:lvl w:ilvl="1">
      <w:numFmt w:val="bullet"/>
      <w:lvlText w:val="-"/>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0E57622D"/>
    <w:multiLevelType w:val="singleLevel"/>
    <w:tmpl w:val="213A3192"/>
    <w:lvl w:ilvl="0">
      <w:start w:val="1"/>
      <w:numFmt w:val="decimal"/>
      <w:lvlText w:val="%1."/>
      <w:lvlJc w:val="left"/>
      <w:pPr>
        <w:tabs>
          <w:tab w:val="num" w:pos="360"/>
        </w:tabs>
        <w:ind w:left="0" w:firstLine="0"/>
      </w:pPr>
    </w:lvl>
  </w:abstractNum>
  <w:abstractNum w:abstractNumId="12" w15:restartNumberingAfterBreak="0">
    <w:nsid w:val="136A7BEB"/>
    <w:multiLevelType w:val="multilevel"/>
    <w:tmpl w:val="65FE521C"/>
    <w:lvl w:ilvl="0">
      <w:start w:val="1"/>
      <w:numFmt w:val="decimal"/>
      <w:lvlText w:val="%1)"/>
      <w:lvlJc w:val="left"/>
      <w:pPr>
        <w:tabs>
          <w:tab w:val="num" w:pos="720"/>
        </w:tabs>
        <w:ind w:left="720" w:hanging="360"/>
      </w:pPr>
      <w:rPr>
        <w:rFonts w:hint="default"/>
      </w:rPr>
    </w:lvl>
    <w:lvl w:ilvl="1">
      <w:numFmt w:val="bullet"/>
      <w:lvlText w:val="-"/>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140418D3"/>
    <w:multiLevelType w:val="hybridMultilevel"/>
    <w:tmpl w:val="CDCA4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052FB5"/>
    <w:multiLevelType w:val="hybridMultilevel"/>
    <w:tmpl w:val="B8620EBA"/>
    <w:lvl w:ilvl="0" w:tplc="C8C6C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9AB62EC"/>
    <w:multiLevelType w:val="hybridMultilevel"/>
    <w:tmpl w:val="192E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C83DB1"/>
    <w:multiLevelType w:val="hybridMultilevel"/>
    <w:tmpl w:val="02F83C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6BD4C33"/>
    <w:multiLevelType w:val="hybridMultilevel"/>
    <w:tmpl w:val="6A2A456A"/>
    <w:lvl w:ilvl="0" w:tplc="EEE08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83E06B7"/>
    <w:multiLevelType w:val="hybridMultilevel"/>
    <w:tmpl w:val="AE94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E66C06"/>
    <w:multiLevelType w:val="multilevel"/>
    <w:tmpl w:val="46B02156"/>
    <w:lvl w:ilvl="0">
      <w:start w:val="1"/>
      <w:numFmt w:val="decimal"/>
      <w:lvlText w:val="%1)"/>
      <w:lvlJc w:val="left"/>
      <w:pPr>
        <w:tabs>
          <w:tab w:val="num" w:pos="720"/>
        </w:tabs>
        <w:ind w:left="720" w:hanging="360"/>
      </w:pPr>
      <w:rPr>
        <w:rFonts w:hint="default"/>
      </w:rPr>
    </w:lvl>
    <w:lvl w:ilvl="1">
      <w:start w:val="1"/>
      <w:numFmt w:val="decimal"/>
      <w:lvlText w:val="3.%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32AD506F"/>
    <w:multiLevelType w:val="hybridMultilevel"/>
    <w:tmpl w:val="9D0A0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9A463C"/>
    <w:multiLevelType w:val="hybridMultilevel"/>
    <w:tmpl w:val="6374C68E"/>
    <w:lvl w:ilvl="0" w:tplc="1CF65DFE">
      <w:start w:val="7"/>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6319C"/>
    <w:multiLevelType w:val="hybridMultilevel"/>
    <w:tmpl w:val="B25AA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C00E81"/>
    <w:multiLevelType w:val="hybridMultilevel"/>
    <w:tmpl w:val="7050054C"/>
    <w:lvl w:ilvl="0" w:tplc="B316C296">
      <w:start w:val="3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45F7655E"/>
    <w:multiLevelType w:val="hybridMultilevel"/>
    <w:tmpl w:val="E110D3D6"/>
    <w:lvl w:ilvl="0" w:tplc="4768B756">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1F6515"/>
    <w:multiLevelType w:val="hybridMultilevel"/>
    <w:tmpl w:val="4FA6E5E6"/>
    <w:lvl w:ilvl="0" w:tplc="82C08FBC">
      <w:start w:val="7"/>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1A73ED"/>
    <w:multiLevelType w:val="multilevel"/>
    <w:tmpl w:val="01765420"/>
    <w:lvl w:ilvl="0">
      <w:start w:val="1"/>
      <w:numFmt w:val="decimal"/>
      <w:lvlText w:val="%1)"/>
      <w:lvlJc w:val="left"/>
      <w:pPr>
        <w:tabs>
          <w:tab w:val="num" w:pos="720"/>
        </w:tabs>
        <w:ind w:left="720" w:hanging="360"/>
      </w:pPr>
      <w:rPr>
        <w:rFonts w:hint="default"/>
      </w:rPr>
    </w:lvl>
    <w:lvl w:ilvl="1">
      <w:start w:val="3"/>
      <w:numFmt w:val="decimal"/>
      <w:lvlText w:val="3.%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47BA6C71"/>
    <w:multiLevelType w:val="hybridMultilevel"/>
    <w:tmpl w:val="EA80C0BE"/>
    <w:lvl w:ilvl="0" w:tplc="A93A8F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AD4ADC"/>
    <w:multiLevelType w:val="hybridMultilevel"/>
    <w:tmpl w:val="8A22E444"/>
    <w:lvl w:ilvl="0" w:tplc="AEDCD74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C1C1EBE"/>
    <w:multiLevelType w:val="hybridMultilevel"/>
    <w:tmpl w:val="192E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291B4F"/>
    <w:multiLevelType w:val="hybridMultilevel"/>
    <w:tmpl w:val="C7DE2394"/>
    <w:lvl w:ilvl="0" w:tplc="A93A8F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D394D"/>
    <w:multiLevelType w:val="hybridMultilevel"/>
    <w:tmpl w:val="3B024CC4"/>
    <w:lvl w:ilvl="0" w:tplc="4768D97A">
      <w:start w:val="1"/>
      <w:numFmt w:val="decimal"/>
      <w:lvlText w:val="%1."/>
      <w:lvlJc w:val="left"/>
      <w:pPr>
        <w:ind w:left="192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B22A55"/>
    <w:multiLevelType w:val="multilevel"/>
    <w:tmpl w:val="88B2B19E"/>
    <w:lvl w:ilvl="0">
      <w:start w:val="1"/>
      <w:numFmt w:val="decimal"/>
      <w:lvlText w:val="%1)"/>
      <w:lvlJc w:val="left"/>
      <w:pPr>
        <w:tabs>
          <w:tab w:val="num" w:pos="720"/>
        </w:tabs>
        <w:ind w:left="720" w:hanging="360"/>
      </w:pPr>
      <w:rPr>
        <w:rFonts w:hint="default"/>
      </w:rPr>
    </w:lvl>
    <w:lvl w:ilvl="1">
      <w:start w:val="4"/>
      <w:numFmt w:val="decimal"/>
      <w:lvlText w:val="3.%2."/>
      <w:lvlJc w:val="left"/>
      <w:pPr>
        <w:ind w:left="1978"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15:restartNumberingAfterBreak="0">
    <w:nsid w:val="59AD0689"/>
    <w:multiLevelType w:val="hybridMultilevel"/>
    <w:tmpl w:val="DF788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C38DF"/>
    <w:multiLevelType w:val="hybridMultilevel"/>
    <w:tmpl w:val="CD1A0B82"/>
    <w:lvl w:ilvl="0" w:tplc="D2189EE0">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B358B8"/>
    <w:multiLevelType w:val="hybridMultilevel"/>
    <w:tmpl w:val="9F02B5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1EB3294"/>
    <w:multiLevelType w:val="multilevel"/>
    <w:tmpl w:val="215061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97"/>
        </w:tabs>
        <w:ind w:left="1497" w:hanging="420"/>
      </w:pPr>
      <w:rPr>
        <w:rFonts w:hint="default"/>
      </w:rPr>
    </w:lvl>
    <w:lvl w:ilvl="2">
      <w:start w:val="1"/>
      <w:numFmt w:val="decimal"/>
      <w:isLgl/>
      <w:lvlText w:val="%1.%2.%3"/>
      <w:lvlJc w:val="left"/>
      <w:pPr>
        <w:tabs>
          <w:tab w:val="num" w:pos="2514"/>
        </w:tabs>
        <w:ind w:left="2514" w:hanging="720"/>
      </w:pPr>
      <w:rPr>
        <w:rFonts w:hint="default"/>
      </w:rPr>
    </w:lvl>
    <w:lvl w:ilvl="3">
      <w:start w:val="1"/>
      <w:numFmt w:val="decimal"/>
      <w:isLgl/>
      <w:lvlText w:val="%1.%2.%3.%4"/>
      <w:lvlJc w:val="left"/>
      <w:pPr>
        <w:tabs>
          <w:tab w:val="num" w:pos="3591"/>
        </w:tabs>
        <w:ind w:left="3591" w:hanging="1080"/>
      </w:pPr>
      <w:rPr>
        <w:rFonts w:hint="default"/>
      </w:rPr>
    </w:lvl>
    <w:lvl w:ilvl="4">
      <w:start w:val="1"/>
      <w:numFmt w:val="decimal"/>
      <w:isLgl/>
      <w:lvlText w:val="%1.%2.%3.%4.%5"/>
      <w:lvlJc w:val="left"/>
      <w:pPr>
        <w:tabs>
          <w:tab w:val="num" w:pos="4308"/>
        </w:tabs>
        <w:ind w:left="4308" w:hanging="1080"/>
      </w:pPr>
      <w:rPr>
        <w:rFonts w:hint="default"/>
      </w:rPr>
    </w:lvl>
    <w:lvl w:ilvl="5">
      <w:start w:val="1"/>
      <w:numFmt w:val="decimal"/>
      <w:isLgl/>
      <w:lvlText w:val="%1.%2.%3.%4.%5.%6"/>
      <w:lvlJc w:val="left"/>
      <w:pPr>
        <w:tabs>
          <w:tab w:val="num" w:pos="5385"/>
        </w:tabs>
        <w:ind w:left="5385" w:hanging="1440"/>
      </w:pPr>
      <w:rPr>
        <w:rFonts w:hint="default"/>
      </w:rPr>
    </w:lvl>
    <w:lvl w:ilvl="6">
      <w:start w:val="1"/>
      <w:numFmt w:val="decimal"/>
      <w:isLgl/>
      <w:lvlText w:val="%1.%2.%3.%4.%5.%6.%7"/>
      <w:lvlJc w:val="left"/>
      <w:pPr>
        <w:tabs>
          <w:tab w:val="num" w:pos="6102"/>
        </w:tabs>
        <w:ind w:left="6102" w:hanging="1440"/>
      </w:pPr>
      <w:rPr>
        <w:rFonts w:hint="default"/>
      </w:rPr>
    </w:lvl>
    <w:lvl w:ilvl="7">
      <w:start w:val="1"/>
      <w:numFmt w:val="decimal"/>
      <w:isLgl/>
      <w:lvlText w:val="%1.%2.%3.%4.%5.%6.%7.%8"/>
      <w:lvlJc w:val="left"/>
      <w:pPr>
        <w:tabs>
          <w:tab w:val="num" w:pos="7179"/>
        </w:tabs>
        <w:ind w:left="7179" w:hanging="1800"/>
      </w:pPr>
      <w:rPr>
        <w:rFonts w:hint="default"/>
      </w:rPr>
    </w:lvl>
    <w:lvl w:ilvl="8">
      <w:start w:val="1"/>
      <w:numFmt w:val="decimal"/>
      <w:isLgl/>
      <w:lvlText w:val="%1.%2.%3.%4.%5.%6.%7.%8.%9"/>
      <w:lvlJc w:val="left"/>
      <w:pPr>
        <w:tabs>
          <w:tab w:val="num" w:pos="8256"/>
        </w:tabs>
        <w:ind w:left="8256" w:hanging="2160"/>
      </w:pPr>
      <w:rPr>
        <w:rFonts w:hint="default"/>
      </w:rPr>
    </w:lvl>
  </w:abstractNum>
  <w:abstractNum w:abstractNumId="37" w15:restartNumberingAfterBreak="0">
    <w:nsid w:val="68223942"/>
    <w:multiLevelType w:val="hybridMultilevel"/>
    <w:tmpl w:val="192E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BD2608"/>
    <w:multiLevelType w:val="multilevel"/>
    <w:tmpl w:val="9DBA7332"/>
    <w:lvl w:ilvl="0">
      <w:start w:val="1"/>
      <w:numFmt w:val="decimal"/>
      <w:lvlText w:val="%1)"/>
      <w:lvlJc w:val="left"/>
      <w:pPr>
        <w:tabs>
          <w:tab w:val="num" w:pos="720"/>
        </w:tabs>
        <w:ind w:left="720" w:hanging="360"/>
      </w:pPr>
      <w:rPr>
        <w:rFonts w:hint="default"/>
      </w:rPr>
    </w:lvl>
    <w:lvl w:ilvl="1">
      <w:numFmt w:val="bullet"/>
      <w:lvlText w:val="-"/>
      <w:lvlJc w:val="left"/>
      <w:pPr>
        <w:ind w:left="1978"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B3937E5"/>
    <w:multiLevelType w:val="hybridMultilevel"/>
    <w:tmpl w:val="192E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B774C1"/>
    <w:multiLevelType w:val="hybridMultilevel"/>
    <w:tmpl w:val="14AEC8BA"/>
    <w:lvl w:ilvl="0" w:tplc="39583DC4">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520227"/>
    <w:multiLevelType w:val="hybridMultilevel"/>
    <w:tmpl w:val="6CA2DF80"/>
    <w:lvl w:ilvl="0" w:tplc="61DC9840">
      <w:start w:val="2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5A222EE"/>
    <w:multiLevelType w:val="multilevel"/>
    <w:tmpl w:val="53F4425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6737763"/>
    <w:multiLevelType w:val="hybridMultilevel"/>
    <w:tmpl w:val="E2D6C23A"/>
    <w:lvl w:ilvl="0" w:tplc="8FDC6610">
      <w:start w:val="7"/>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9C1A1C"/>
    <w:multiLevelType w:val="hybridMultilevel"/>
    <w:tmpl w:val="82961AC6"/>
    <w:lvl w:ilvl="0" w:tplc="D29A12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000023"/>
    <w:multiLevelType w:val="hybridMultilevel"/>
    <w:tmpl w:val="192E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8327C"/>
    <w:multiLevelType w:val="hybridMultilevel"/>
    <w:tmpl w:val="3118DB38"/>
    <w:lvl w:ilvl="0" w:tplc="F6ACD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C15604"/>
    <w:multiLevelType w:val="multilevel"/>
    <w:tmpl w:val="C0864520"/>
    <w:lvl w:ilvl="0">
      <w:numFmt w:val="bullet"/>
      <w:lvlText w:val="-"/>
      <w:lvlJc w:val="left"/>
      <w:pPr>
        <w:tabs>
          <w:tab w:val="num" w:pos="720"/>
        </w:tabs>
        <w:ind w:left="720" w:hanging="360"/>
      </w:pPr>
      <w:rPr>
        <w:rFonts w:hint="default"/>
      </w:rPr>
    </w:lvl>
    <w:lvl w:ilvl="1">
      <w:numFmt w:val="bullet"/>
      <w:lvlText w:val="-"/>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7"/>
  </w:num>
  <w:num w:numId="2">
    <w:abstractNumId w:val="36"/>
  </w:num>
  <w:num w:numId="3">
    <w:abstractNumId w:val="47"/>
  </w:num>
  <w:num w:numId="4">
    <w:abstractNumId w:val="12"/>
  </w:num>
  <w:num w:numId="5">
    <w:abstractNumId w:val="9"/>
  </w:num>
  <w:num w:numId="6">
    <w:abstractNumId w:val="4"/>
  </w:num>
  <w:num w:numId="7">
    <w:abstractNumId w:val="42"/>
  </w:num>
  <w:num w:numId="8">
    <w:abstractNumId w:val="38"/>
  </w:num>
  <w:num w:numId="9">
    <w:abstractNumId w:val="5"/>
  </w:num>
  <w:num w:numId="10">
    <w:abstractNumId w:val="0"/>
  </w:num>
  <w:num w:numId="11">
    <w:abstractNumId w:val="44"/>
  </w:num>
  <w:num w:numId="12">
    <w:abstractNumId w:val="10"/>
  </w:num>
  <w:num w:numId="13">
    <w:abstractNumId w:val="16"/>
  </w:num>
  <w:num w:numId="14">
    <w:abstractNumId w:val="19"/>
  </w:num>
  <w:num w:numId="15">
    <w:abstractNumId w:val="3"/>
  </w:num>
  <w:num w:numId="16">
    <w:abstractNumId w:val="26"/>
  </w:num>
  <w:num w:numId="17">
    <w:abstractNumId w:val="32"/>
  </w:num>
  <w:num w:numId="18">
    <w:abstractNumId w:val="35"/>
  </w:num>
  <w:num w:numId="19">
    <w:abstractNumId w:val="22"/>
  </w:num>
  <w:num w:numId="20">
    <w:abstractNumId w:val="33"/>
  </w:num>
  <w:num w:numId="21">
    <w:abstractNumId w:val="8"/>
  </w:num>
  <w:num w:numId="22">
    <w:abstractNumId w:val="27"/>
  </w:num>
  <w:num w:numId="23">
    <w:abstractNumId w:val="30"/>
  </w:num>
  <w:num w:numId="24">
    <w:abstractNumId w:val="2"/>
  </w:num>
  <w:num w:numId="25">
    <w:abstractNumId w:val="43"/>
  </w:num>
  <w:num w:numId="26">
    <w:abstractNumId w:val="21"/>
  </w:num>
  <w:num w:numId="27">
    <w:abstractNumId w:val="25"/>
  </w:num>
  <w:num w:numId="28">
    <w:abstractNumId w:val="1"/>
  </w:num>
  <w:num w:numId="29">
    <w:abstractNumId w:val="13"/>
  </w:num>
  <w:num w:numId="30">
    <w:abstractNumId w:val="18"/>
  </w:num>
  <w:num w:numId="31">
    <w:abstractNumId w:val="29"/>
  </w:num>
  <w:num w:numId="32">
    <w:abstractNumId w:val="15"/>
  </w:num>
  <w:num w:numId="33">
    <w:abstractNumId w:val="37"/>
  </w:num>
  <w:num w:numId="34">
    <w:abstractNumId w:val="20"/>
  </w:num>
  <w:num w:numId="35">
    <w:abstractNumId w:val="39"/>
  </w:num>
  <w:num w:numId="36">
    <w:abstractNumId w:val="11"/>
  </w:num>
  <w:num w:numId="37">
    <w:abstractNumId w:val="45"/>
  </w:num>
  <w:num w:numId="38">
    <w:abstractNumId w:val="14"/>
  </w:num>
  <w:num w:numId="39">
    <w:abstractNumId w:val="17"/>
  </w:num>
  <w:num w:numId="40">
    <w:abstractNumId w:val="31"/>
  </w:num>
  <w:num w:numId="41">
    <w:abstractNumId w:val="41"/>
  </w:num>
  <w:num w:numId="42">
    <w:abstractNumId w:val="23"/>
  </w:num>
  <w:num w:numId="43">
    <w:abstractNumId w:val="46"/>
  </w:num>
  <w:num w:numId="44">
    <w:abstractNumId w:val="34"/>
  </w:num>
  <w:num w:numId="45">
    <w:abstractNumId w:val="28"/>
  </w:num>
  <w:num w:numId="46">
    <w:abstractNumId w:val="24"/>
  </w:num>
  <w:num w:numId="47">
    <w:abstractNumId w:val="4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D6"/>
    <w:rsid w:val="00422D0B"/>
    <w:rsid w:val="004E7135"/>
    <w:rsid w:val="00974076"/>
    <w:rsid w:val="00D2095D"/>
    <w:rsid w:val="00DA2120"/>
    <w:rsid w:val="00E565D6"/>
    <w:rsid w:val="00FD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9C91"/>
  <w15:chartTrackingRefBased/>
  <w15:docId w15:val="{AD258439-22DB-418F-9883-60C4453D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9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09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2095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D2095D"/>
    <w:pPr>
      <w:keepNext/>
      <w:pageBreakBefore/>
      <w:jc w:val="center"/>
      <w:outlineLvl w:val="3"/>
    </w:pPr>
    <w:rPr>
      <w:b/>
      <w:smallCaps/>
      <w:sz w:val="28"/>
      <w:szCs w:val="20"/>
    </w:rPr>
  </w:style>
  <w:style w:type="paragraph" w:styleId="5">
    <w:name w:val="heading 5"/>
    <w:basedOn w:val="a"/>
    <w:next w:val="a"/>
    <w:link w:val="50"/>
    <w:qFormat/>
    <w:rsid w:val="00D2095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95D"/>
    <w:rPr>
      <w:rFonts w:ascii="Arial" w:eastAsia="Times New Roman" w:hAnsi="Arial" w:cs="Arial"/>
      <w:b/>
      <w:bCs/>
      <w:kern w:val="32"/>
      <w:sz w:val="32"/>
      <w:szCs w:val="32"/>
      <w:lang w:val="en" w:eastAsia="ru-RU"/>
    </w:rPr>
  </w:style>
  <w:style w:type="character" w:customStyle="1" w:styleId="20">
    <w:name w:val="Заголовок 2 Знак"/>
    <w:basedOn w:val="a0"/>
    <w:link w:val="2"/>
    <w:rsid w:val="00D2095D"/>
    <w:rPr>
      <w:rFonts w:ascii="Arial" w:eastAsia="Times New Roman" w:hAnsi="Arial" w:cs="Arial"/>
      <w:b/>
      <w:bCs/>
      <w:i/>
      <w:iCs/>
      <w:sz w:val="28"/>
      <w:szCs w:val="28"/>
      <w:lang w:val="en" w:eastAsia="ru-RU"/>
    </w:rPr>
  </w:style>
  <w:style w:type="character" w:customStyle="1" w:styleId="40">
    <w:name w:val="Заголовок 4 Знак"/>
    <w:basedOn w:val="a0"/>
    <w:link w:val="4"/>
    <w:rsid w:val="00D2095D"/>
    <w:rPr>
      <w:rFonts w:ascii="Times New Roman" w:eastAsia="Times New Roman" w:hAnsi="Times New Roman" w:cs="Times New Roman"/>
      <w:b/>
      <w:smallCaps/>
      <w:sz w:val="28"/>
      <w:szCs w:val="20"/>
      <w:lang w:val="en" w:eastAsia="ru-RU"/>
    </w:rPr>
  </w:style>
  <w:style w:type="character" w:customStyle="1" w:styleId="50">
    <w:name w:val="Заголовок 5 Знак"/>
    <w:basedOn w:val="a0"/>
    <w:link w:val="5"/>
    <w:rsid w:val="00D2095D"/>
    <w:rPr>
      <w:rFonts w:ascii="Times New Roman" w:eastAsia="Times New Roman" w:hAnsi="Times New Roman" w:cs="Times New Roman"/>
      <w:b/>
      <w:bCs/>
      <w:i/>
      <w:iCs/>
      <w:sz w:val="26"/>
      <w:szCs w:val="26"/>
      <w:lang w:val="en" w:eastAsia="ru-RU"/>
    </w:rPr>
  </w:style>
  <w:style w:type="paragraph" w:styleId="a3">
    <w:name w:val="Normal (Web)"/>
    <w:basedOn w:val="a"/>
    <w:rsid w:val="00D2095D"/>
    <w:pPr>
      <w:spacing w:before="100" w:beforeAutospacing="1" w:after="100" w:afterAutospacing="1"/>
    </w:pPr>
    <w:rPr>
      <w:rFonts w:ascii="Verdana" w:hAnsi="Verdana"/>
      <w:color w:val="616161"/>
      <w:sz w:val="21"/>
      <w:szCs w:val="21"/>
      <w:lang w:bidi="he-IL"/>
    </w:rPr>
  </w:style>
  <w:style w:type="character" w:styleId="a4">
    <w:name w:val="Hyperlink"/>
    <w:basedOn w:val="a0"/>
    <w:rsid w:val="00D2095D"/>
    <w:rPr>
      <w:color w:val="00457E"/>
      <w:u w:val="single"/>
    </w:rPr>
  </w:style>
  <w:style w:type="paragraph" w:styleId="3">
    <w:name w:val="Body Text Indent 3"/>
    <w:basedOn w:val="a"/>
    <w:link w:val="30"/>
    <w:rsid w:val="00D2095D"/>
    <w:pPr>
      <w:spacing w:before="120"/>
      <w:ind w:firstLine="680"/>
      <w:jc w:val="both"/>
    </w:pPr>
    <w:rPr>
      <w:szCs w:val="20"/>
    </w:rPr>
  </w:style>
  <w:style w:type="character" w:customStyle="1" w:styleId="30">
    <w:name w:val="Основной текст с отступом 3 Знак"/>
    <w:basedOn w:val="a0"/>
    <w:link w:val="3"/>
    <w:rsid w:val="00D2095D"/>
    <w:rPr>
      <w:rFonts w:ascii="Times New Roman" w:eastAsia="Times New Roman" w:hAnsi="Times New Roman" w:cs="Times New Roman"/>
      <w:sz w:val="24"/>
      <w:szCs w:val="20"/>
      <w:lang w:val="en" w:eastAsia="ru-RU"/>
    </w:rPr>
  </w:style>
  <w:style w:type="paragraph" w:styleId="a5">
    <w:name w:val="Body Text"/>
    <w:basedOn w:val="a"/>
    <w:link w:val="a6"/>
    <w:rsid w:val="00D2095D"/>
    <w:pPr>
      <w:spacing w:after="120"/>
    </w:pPr>
  </w:style>
  <w:style w:type="character" w:customStyle="1" w:styleId="a6">
    <w:name w:val="Основной текст Знак"/>
    <w:basedOn w:val="a0"/>
    <w:link w:val="a5"/>
    <w:rsid w:val="00D2095D"/>
    <w:rPr>
      <w:rFonts w:ascii="Times New Roman" w:eastAsia="Times New Roman" w:hAnsi="Times New Roman" w:cs="Times New Roman"/>
      <w:sz w:val="24"/>
      <w:szCs w:val="24"/>
      <w:lang w:val="en" w:eastAsia="ru-RU"/>
    </w:rPr>
  </w:style>
  <w:style w:type="paragraph" w:styleId="a7">
    <w:name w:val="Body Text Indent"/>
    <w:basedOn w:val="a"/>
    <w:link w:val="a8"/>
    <w:rsid w:val="00D2095D"/>
    <w:pPr>
      <w:spacing w:after="120"/>
      <w:ind w:left="283"/>
    </w:pPr>
  </w:style>
  <w:style w:type="character" w:customStyle="1" w:styleId="a8">
    <w:name w:val="Основной текст с отступом Знак"/>
    <w:basedOn w:val="a0"/>
    <w:link w:val="a7"/>
    <w:rsid w:val="00D2095D"/>
    <w:rPr>
      <w:rFonts w:ascii="Times New Roman" w:eastAsia="Times New Roman" w:hAnsi="Times New Roman" w:cs="Times New Roman"/>
      <w:sz w:val="24"/>
      <w:szCs w:val="24"/>
      <w:lang w:val="en" w:eastAsia="ru-RU"/>
    </w:rPr>
  </w:style>
  <w:style w:type="paragraph" w:styleId="21">
    <w:name w:val="Body Text 2"/>
    <w:basedOn w:val="a"/>
    <w:link w:val="22"/>
    <w:rsid w:val="00D2095D"/>
    <w:pPr>
      <w:spacing w:after="120" w:line="480" w:lineRule="auto"/>
    </w:pPr>
  </w:style>
  <w:style w:type="character" w:customStyle="1" w:styleId="22">
    <w:name w:val="Основной текст 2 Знак"/>
    <w:basedOn w:val="a0"/>
    <w:link w:val="21"/>
    <w:rsid w:val="00D2095D"/>
    <w:rPr>
      <w:rFonts w:ascii="Times New Roman" w:eastAsia="Times New Roman" w:hAnsi="Times New Roman" w:cs="Times New Roman"/>
      <w:sz w:val="24"/>
      <w:szCs w:val="24"/>
      <w:lang w:val="en" w:eastAsia="ru-RU"/>
    </w:rPr>
  </w:style>
  <w:style w:type="paragraph" w:customStyle="1" w:styleId="11">
    <w:name w:val="Стиль1"/>
    <w:basedOn w:val="a"/>
    <w:rsid w:val="00D2095D"/>
    <w:pPr>
      <w:widowControl w:val="0"/>
      <w:jc w:val="both"/>
    </w:pPr>
    <w:rPr>
      <w:snapToGrid w:val="0"/>
      <w:sz w:val="28"/>
      <w:szCs w:val="20"/>
    </w:rPr>
  </w:style>
  <w:style w:type="paragraph" w:customStyle="1" w:styleId="a9">
    <w:basedOn w:val="a"/>
    <w:next w:val="aa"/>
    <w:qFormat/>
    <w:rsid w:val="00D2095D"/>
    <w:pPr>
      <w:jc w:val="center"/>
    </w:pPr>
    <w:rPr>
      <w:b/>
      <w:szCs w:val="20"/>
    </w:rPr>
  </w:style>
  <w:style w:type="paragraph" w:customStyle="1" w:styleId="12">
    <w:name w:val="1"/>
    <w:basedOn w:val="a"/>
    <w:autoRedefine/>
    <w:rsid w:val="00D2095D"/>
    <w:pPr>
      <w:spacing w:after="160" w:line="240" w:lineRule="exact"/>
    </w:pPr>
    <w:rPr>
      <w:sz w:val="28"/>
      <w:szCs w:val="20"/>
      <w:lang w:eastAsia="en-US"/>
    </w:rPr>
  </w:style>
  <w:style w:type="paragraph" w:customStyle="1" w:styleId="OsnTxt">
    <w:name w:val="OsnTxt"/>
    <w:rsid w:val="00D2095D"/>
    <w:pPr>
      <w:spacing w:after="0" w:line="280" w:lineRule="exact"/>
      <w:ind w:firstLine="794"/>
      <w:jc w:val="both"/>
    </w:pPr>
    <w:rPr>
      <w:rFonts w:ascii="Arial" w:eastAsia="Times New Roman" w:hAnsi="Arial" w:cs="Times New Roman"/>
      <w:sz w:val="20"/>
      <w:szCs w:val="20"/>
      <w:lang w:eastAsia="ru-RU"/>
    </w:rPr>
  </w:style>
  <w:style w:type="paragraph" w:styleId="ab">
    <w:name w:val="Balloon Text"/>
    <w:basedOn w:val="a"/>
    <w:link w:val="ac"/>
    <w:semiHidden/>
    <w:rsid w:val="00D2095D"/>
    <w:rPr>
      <w:rFonts w:ascii="Tahoma" w:hAnsi="Tahoma" w:cs="Tahoma"/>
      <w:sz w:val="16"/>
      <w:szCs w:val="16"/>
    </w:rPr>
  </w:style>
  <w:style w:type="character" w:customStyle="1" w:styleId="ac">
    <w:name w:val="Текст выноски Знак"/>
    <w:basedOn w:val="a0"/>
    <w:link w:val="ab"/>
    <w:semiHidden/>
    <w:rsid w:val="00D2095D"/>
    <w:rPr>
      <w:rFonts w:ascii="Tahoma" w:eastAsia="Times New Roman" w:hAnsi="Tahoma" w:cs="Tahoma"/>
      <w:sz w:val="16"/>
      <w:szCs w:val="16"/>
      <w:lang w:val="en" w:eastAsia="ru-RU"/>
    </w:rPr>
  </w:style>
  <w:style w:type="character" w:styleId="ad">
    <w:name w:val="Emphasis"/>
    <w:basedOn w:val="a0"/>
    <w:qFormat/>
    <w:rsid w:val="00D2095D"/>
    <w:rPr>
      <w:b/>
      <w:bCs/>
      <w:i w:val="0"/>
      <w:iCs w:val="0"/>
    </w:rPr>
  </w:style>
  <w:style w:type="paragraph" w:styleId="ae">
    <w:name w:val="footer"/>
    <w:basedOn w:val="a"/>
    <w:link w:val="af"/>
    <w:rsid w:val="00D2095D"/>
    <w:pPr>
      <w:tabs>
        <w:tab w:val="center" w:pos="4677"/>
        <w:tab w:val="right" w:pos="9355"/>
      </w:tabs>
    </w:pPr>
    <w:rPr>
      <w:sz w:val="20"/>
      <w:szCs w:val="20"/>
    </w:rPr>
  </w:style>
  <w:style w:type="character" w:customStyle="1" w:styleId="af">
    <w:name w:val="Нижний колонтитул Знак"/>
    <w:basedOn w:val="a0"/>
    <w:link w:val="ae"/>
    <w:rsid w:val="00D2095D"/>
    <w:rPr>
      <w:rFonts w:ascii="Times New Roman" w:eastAsia="Times New Roman" w:hAnsi="Times New Roman" w:cs="Times New Roman"/>
      <w:sz w:val="20"/>
      <w:szCs w:val="20"/>
      <w:lang w:val="en" w:eastAsia="ru-RU"/>
    </w:rPr>
  </w:style>
  <w:style w:type="paragraph" w:customStyle="1" w:styleId="BodyText1">
    <w:name w:val="Body Text1"/>
    <w:basedOn w:val="a"/>
    <w:rsid w:val="00D2095D"/>
    <w:pPr>
      <w:jc w:val="center"/>
    </w:pPr>
    <w:rPr>
      <w:b/>
      <w:bCs/>
      <w:sz w:val="20"/>
      <w:szCs w:val="20"/>
      <w:lang w:bidi="he-IL"/>
    </w:rPr>
  </w:style>
  <w:style w:type="paragraph" w:styleId="af0">
    <w:name w:val="annotation text"/>
    <w:basedOn w:val="a"/>
    <w:link w:val="af1"/>
    <w:semiHidden/>
    <w:rsid w:val="00D2095D"/>
    <w:rPr>
      <w:sz w:val="20"/>
      <w:szCs w:val="20"/>
      <w:lang w:bidi="he-IL"/>
    </w:rPr>
  </w:style>
  <w:style w:type="character" w:customStyle="1" w:styleId="af1">
    <w:name w:val="Текст примечания Знак"/>
    <w:basedOn w:val="a0"/>
    <w:link w:val="af0"/>
    <w:semiHidden/>
    <w:rsid w:val="00D2095D"/>
    <w:rPr>
      <w:rFonts w:ascii="Times New Roman" w:eastAsia="Times New Roman" w:hAnsi="Times New Roman" w:cs="Times New Roman"/>
      <w:sz w:val="20"/>
      <w:szCs w:val="20"/>
      <w:lang w:val="en" w:eastAsia="ru-RU" w:bidi="he-IL"/>
    </w:rPr>
  </w:style>
  <w:style w:type="paragraph" w:customStyle="1" w:styleId="af2">
    <w:name w:val="ОснТекст"/>
    <w:link w:val="af3"/>
    <w:rsid w:val="00D2095D"/>
    <w:pPr>
      <w:spacing w:after="0" w:line="240" w:lineRule="auto"/>
      <w:ind w:firstLine="709"/>
      <w:jc w:val="both"/>
    </w:pPr>
    <w:rPr>
      <w:rFonts w:ascii="Arial" w:eastAsia="Times New Roman" w:hAnsi="Arial" w:cs="Times New Roman"/>
      <w:noProof/>
      <w:sz w:val="20"/>
      <w:szCs w:val="20"/>
      <w:lang w:eastAsia="ru-RU"/>
    </w:rPr>
  </w:style>
  <w:style w:type="paragraph" w:styleId="31">
    <w:name w:val="Body Text 3"/>
    <w:basedOn w:val="a"/>
    <w:link w:val="32"/>
    <w:rsid w:val="00D2095D"/>
    <w:pPr>
      <w:spacing w:after="120"/>
    </w:pPr>
    <w:rPr>
      <w:sz w:val="16"/>
      <w:szCs w:val="16"/>
    </w:rPr>
  </w:style>
  <w:style w:type="character" w:customStyle="1" w:styleId="32">
    <w:name w:val="Основной текст 3 Знак"/>
    <w:basedOn w:val="a0"/>
    <w:link w:val="31"/>
    <w:rsid w:val="00D2095D"/>
    <w:rPr>
      <w:rFonts w:ascii="Times New Roman" w:eastAsia="Times New Roman" w:hAnsi="Times New Roman" w:cs="Times New Roman"/>
      <w:sz w:val="16"/>
      <w:szCs w:val="16"/>
      <w:lang w:val="en" w:eastAsia="ru-RU"/>
    </w:rPr>
  </w:style>
  <w:style w:type="paragraph" w:customStyle="1" w:styleId="CharCharCharChar">
    <w:name w:val="Char Char Знак Знак Char Char Знак"/>
    <w:basedOn w:val="a"/>
    <w:autoRedefine/>
    <w:rsid w:val="00D2095D"/>
    <w:pPr>
      <w:spacing w:after="160" w:line="240" w:lineRule="exact"/>
    </w:pPr>
    <w:rPr>
      <w:rFonts w:eastAsia="SimSun"/>
      <w:b/>
      <w:sz w:val="28"/>
      <w:lang w:eastAsia="en-US"/>
    </w:rPr>
  </w:style>
  <w:style w:type="character" w:styleId="af4">
    <w:name w:val="page number"/>
    <w:basedOn w:val="a0"/>
    <w:rsid w:val="00D2095D"/>
  </w:style>
  <w:style w:type="paragraph" w:styleId="HTML">
    <w:name w:val="HTML Preformatted"/>
    <w:basedOn w:val="a"/>
    <w:link w:val="HTML0"/>
    <w:rsid w:val="00D2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2095D"/>
    <w:rPr>
      <w:rFonts w:ascii="Courier New" w:eastAsia="Times New Roman" w:hAnsi="Courier New" w:cs="Courier New"/>
      <w:sz w:val="20"/>
      <w:szCs w:val="20"/>
      <w:lang w:val="en" w:eastAsia="ru-RU"/>
    </w:rPr>
  </w:style>
  <w:style w:type="paragraph" w:customStyle="1" w:styleId="af5">
    <w:name w:val="Знак Знак Знак Знак"/>
    <w:basedOn w:val="a"/>
    <w:autoRedefine/>
    <w:rsid w:val="00D2095D"/>
    <w:pPr>
      <w:spacing w:after="160" w:line="240" w:lineRule="exact"/>
    </w:pPr>
    <w:rPr>
      <w:rFonts w:ascii="Times New Roman CYR" w:eastAsia="SimSun" w:hAnsi="Times New Roman CYR"/>
      <w:b/>
      <w:sz w:val="28"/>
      <w:szCs w:val="20"/>
      <w:lang w:eastAsia="en-US"/>
    </w:rPr>
  </w:style>
  <w:style w:type="character" w:customStyle="1" w:styleId="af3">
    <w:name w:val="ОснТекст Знак"/>
    <w:basedOn w:val="a0"/>
    <w:link w:val="af2"/>
    <w:rsid w:val="00D2095D"/>
    <w:rPr>
      <w:rFonts w:ascii="Arial" w:eastAsia="Times New Roman" w:hAnsi="Arial" w:cs="Times New Roman"/>
      <w:noProof/>
      <w:sz w:val="20"/>
      <w:szCs w:val="20"/>
      <w:lang w:val="en" w:eastAsia="ru-RU"/>
    </w:rPr>
  </w:style>
  <w:style w:type="paragraph" w:customStyle="1" w:styleId="Formula">
    <w:name w:val="Formula"/>
    <w:basedOn w:val="OsnTxt"/>
    <w:rsid w:val="00D2095D"/>
    <w:pPr>
      <w:tabs>
        <w:tab w:val="right" w:pos="8505"/>
      </w:tabs>
      <w:spacing w:line="240" w:lineRule="auto"/>
      <w:ind w:left="794" w:firstLine="0"/>
      <w:jc w:val="left"/>
    </w:pPr>
    <w:rPr>
      <w:sz w:val="18"/>
    </w:rPr>
  </w:style>
  <w:style w:type="paragraph" w:styleId="af6">
    <w:name w:val="header"/>
    <w:basedOn w:val="a"/>
    <w:link w:val="af7"/>
    <w:uiPriority w:val="99"/>
    <w:rsid w:val="00D2095D"/>
    <w:pPr>
      <w:tabs>
        <w:tab w:val="center" w:pos="4677"/>
        <w:tab w:val="right" w:pos="9355"/>
      </w:tabs>
    </w:pPr>
  </w:style>
  <w:style w:type="character" w:customStyle="1" w:styleId="af7">
    <w:name w:val="Верхний колонтитул Знак"/>
    <w:basedOn w:val="a0"/>
    <w:link w:val="af6"/>
    <w:uiPriority w:val="99"/>
    <w:rsid w:val="00D2095D"/>
    <w:rPr>
      <w:rFonts w:ascii="Times New Roman" w:eastAsia="Times New Roman" w:hAnsi="Times New Roman" w:cs="Times New Roman"/>
      <w:sz w:val="24"/>
      <w:szCs w:val="24"/>
      <w:lang w:val="en" w:eastAsia="ru-RU"/>
    </w:rPr>
  </w:style>
  <w:style w:type="paragraph" w:styleId="23">
    <w:name w:val="Body Text Indent 2"/>
    <w:basedOn w:val="a"/>
    <w:link w:val="24"/>
    <w:rsid w:val="00D2095D"/>
    <w:pPr>
      <w:spacing w:after="120" w:line="480" w:lineRule="auto"/>
      <w:ind w:left="283"/>
    </w:pPr>
    <w:rPr>
      <w:szCs w:val="20"/>
    </w:rPr>
  </w:style>
  <w:style w:type="character" w:customStyle="1" w:styleId="24">
    <w:name w:val="Основной текст с отступом 2 Знак"/>
    <w:basedOn w:val="a0"/>
    <w:link w:val="23"/>
    <w:rsid w:val="00D2095D"/>
    <w:rPr>
      <w:rFonts w:ascii="Times New Roman" w:eastAsia="Times New Roman" w:hAnsi="Times New Roman" w:cs="Times New Roman"/>
      <w:sz w:val="24"/>
      <w:szCs w:val="20"/>
      <w:lang w:val="en" w:eastAsia="ru-RU"/>
    </w:rPr>
  </w:style>
  <w:style w:type="paragraph" w:customStyle="1" w:styleId="Pa8">
    <w:name w:val="Pa8"/>
    <w:basedOn w:val="a"/>
    <w:next w:val="a"/>
    <w:rsid w:val="00D2095D"/>
    <w:pPr>
      <w:autoSpaceDE w:val="0"/>
      <w:autoSpaceDN w:val="0"/>
      <w:adjustRightInd w:val="0"/>
      <w:spacing w:line="211" w:lineRule="atLeast"/>
    </w:pPr>
  </w:style>
  <w:style w:type="paragraph" w:customStyle="1" w:styleId="CharChar4">
    <w:name w:val="Char Char4 Знак Знак Знак"/>
    <w:basedOn w:val="a"/>
    <w:rsid w:val="00D2095D"/>
    <w:pPr>
      <w:spacing w:after="160" w:line="240" w:lineRule="exact"/>
    </w:pPr>
    <w:rPr>
      <w:rFonts w:ascii="Verdana" w:hAnsi="Verdana"/>
      <w:sz w:val="20"/>
      <w:szCs w:val="20"/>
      <w:lang w:eastAsia="en-US"/>
    </w:rPr>
  </w:style>
  <w:style w:type="paragraph" w:styleId="aa">
    <w:name w:val="Title"/>
    <w:basedOn w:val="a"/>
    <w:next w:val="a"/>
    <w:link w:val="af8"/>
    <w:uiPriority w:val="10"/>
    <w:qFormat/>
    <w:rsid w:val="00D2095D"/>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a"/>
    <w:uiPriority w:val="10"/>
    <w:rsid w:val="00D2095D"/>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oleObject" Target="embeddings/oleObject31.bin"/><Relationship Id="rId68" Type="http://schemas.openxmlformats.org/officeDocument/2006/relationships/image" Target="media/image28.wmf"/><Relationship Id="rId84" Type="http://schemas.openxmlformats.org/officeDocument/2006/relationships/image" Target="media/image35.wmf"/><Relationship Id="rId89"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oleObject" Target="embeddings/oleObject48.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oleObject" Target="embeddings/oleObject33.bin"/><Relationship Id="rId74" Type="http://schemas.openxmlformats.org/officeDocument/2006/relationships/oleObject" Target="embeddings/oleObject38.bin"/><Relationship Id="rId79" Type="http://schemas.openxmlformats.org/officeDocument/2006/relationships/oleObject" Target="embeddings/oleObject41.bin"/><Relationship Id="rId87" Type="http://schemas.openxmlformats.org/officeDocument/2006/relationships/oleObject" Target="embeddings/oleObject45.bin"/><Relationship Id="rId102" Type="http://schemas.openxmlformats.org/officeDocument/2006/relationships/image" Target="media/image43.wmf"/><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oleObject" Target="embeddings/oleObject50.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oleObject" Target="embeddings/oleObject32.bin"/><Relationship Id="rId69" Type="http://schemas.openxmlformats.org/officeDocument/2006/relationships/oleObject" Target="embeddings/oleObject35.bin"/><Relationship Id="rId77" Type="http://schemas.openxmlformats.org/officeDocument/2006/relationships/oleObject" Target="embeddings/oleObject40.bin"/><Relationship Id="rId100" Type="http://schemas.openxmlformats.org/officeDocument/2006/relationships/image" Target="media/image42.wmf"/><Relationship Id="rId105"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image" Target="media/image30.wmf"/><Relationship Id="rId80" Type="http://schemas.openxmlformats.org/officeDocument/2006/relationships/image" Target="media/image33.wmf"/><Relationship Id="rId85" Type="http://schemas.openxmlformats.org/officeDocument/2006/relationships/oleObject" Target="embeddings/oleObject44.bin"/><Relationship Id="rId93" Type="http://schemas.openxmlformats.org/officeDocument/2006/relationships/oleObject" Target="embeddings/oleObject49.bin"/><Relationship Id="rId98"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4.bin"/><Relationship Id="rId103" Type="http://schemas.openxmlformats.org/officeDocument/2006/relationships/oleObject" Target="embeddings/oleObject54.bin"/><Relationship Id="rId10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29.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7.wmf"/><Relationship Id="rId91" Type="http://schemas.openxmlformats.org/officeDocument/2006/relationships/oleObject" Target="embeddings/oleObject47.bin"/><Relationship Id="rId96"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oleObject" Target="embeddings/oleObject28.bin"/><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2.bin"/><Relationship Id="rId86" Type="http://schemas.openxmlformats.org/officeDocument/2006/relationships/image" Target="media/image36.wmf"/><Relationship Id="rId94" Type="http://schemas.openxmlformats.org/officeDocument/2006/relationships/image" Target="media/image39.wmf"/><Relationship Id="rId99" Type="http://schemas.openxmlformats.org/officeDocument/2006/relationships/oleObject" Target="embeddings/oleObject52.bin"/><Relationship Id="rId101" Type="http://schemas.openxmlformats.org/officeDocument/2006/relationships/oleObject" Target="embeddings/oleObject53.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31.wmf"/><Relationship Id="rId97" Type="http://schemas.openxmlformats.org/officeDocument/2006/relationships/oleObject" Target="embeddings/oleObject51.bin"/><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3063</Words>
  <Characters>17463</Characters>
  <Application>Microsoft Office Word</Application>
  <DocSecurity>0</DocSecurity>
  <Lines>145</Lines>
  <Paragraphs>40</Paragraphs>
  <ScaleCrop>false</ScaleCrop>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2023-05-12T05:23:00Z</dcterms:created>
  <dcterms:modified xsi:type="dcterms:W3CDTF">2023-05-12T05:32:00Z</dcterms:modified>
</cp:coreProperties>
</file>